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2646" w:rsidP="002F2646">
      <w:pPr>
        <w:pStyle w:val="Title"/>
      </w:pPr>
      <w:r>
        <w:fldChar w:fldCharType="begin"/>
      </w:r>
      <w:r>
        <w:instrText xml:space="preserve"> TITLE   \* MERGEFORMAT </w:instrText>
      </w:r>
      <w:r>
        <w:fldChar w:fldCharType="separate"/>
      </w:r>
      <w:r>
        <w:t>FDFSUG103A Move cane bins in a marshalling yard</w:t>
      </w:r>
      <w:r>
        <w:fldChar w:fldCharType="end"/>
      </w:r>
    </w:p>
    <w:p w:rsidR="002F2646" w:rsidP="002F2646">
      <w:pPr>
        <w:pStyle w:val="Version"/>
        <w:sectPr w:rsidSect="00115A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5A9E" w:rsidP="00115A9E">
      <w:pPr>
        <w:pStyle w:val="SuperHeading"/>
      </w:pPr>
      <w:r w:rsidRPr="00115A9E">
        <w:t>FDFSUG103A Move cane bins in a marshalling yard</w:t>
      </w:r>
    </w:p>
    <w:p w:rsidR="00000000" w:rsidRPr="00115A9E" w:rsidP="00115A9E">
      <w:pPr>
        <w:pStyle w:val="Heading1"/>
      </w:pPr>
      <w:bookmarkStart w:id="1" w:name="O_391075"/>
      <w:bookmarkEnd w:id="1"/>
      <w:r w:rsidRPr="00115A9E">
        <w:t>Modification History</w:t>
      </w:r>
    </w:p>
    <w:p w:rsidR="00000000" w:rsidRPr="00115A9E" w:rsidP="00115A9E">
      <w:pPr>
        <w:pStyle w:val="BodyText"/>
      </w:pPr>
      <w:r w:rsidRPr="00115A9E">
        <w:t xml:space="preserve">New Unit based on </w:t>
      </w:r>
      <w:r w:rsidRPr="00115A9E">
        <w:rPr>
          <w:rStyle w:val="Emphasis"/>
        </w:rPr>
        <w:t>SUGTCYM1A Control yard movements</w:t>
      </w:r>
      <w:r w:rsidRPr="00115A9E">
        <w:t>.</w:t>
      </w:r>
    </w:p>
    <w:p w:rsidR="00000000" w:rsidRPr="00115A9E" w:rsidP="00115A9E">
      <w:pPr>
        <w:pStyle w:val="AllowPageBreak"/>
      </w:pPr>
    </w:p>
    <w:p w:rsidR="00000000" w:rsidRPr="00115A9E" w:rsidP="00115A9E">
      <w:pPr>
        <w:pStyle w:val="Heading1"/>
      </w:pPr>
      <w:bookmarkStart w:id="2" w:name="O_391076"/>
      <w:bookmarkEnd w:id="2"/>
      <w:r w:rsidRPr="00115A9E">
        <w:t>Unit Descriptor</w:t>
      </w:r>
    </w:p>
    <w:p w:rsidR="00000000" w:rsidRPr="00115A9E" w:rsidP="00115A9E">
      <w:pPr>
        <w:pStyle w:val="BodyText"/>
      </w:pPr>
      <w:r w:rsidRPr="00115A9E">
        <w:t>This unit describes the outcomes required to move cane bins in mill s</w:t>
      </w:r>
      <w:r w:rsidRPr="00115A9E">
        <w:t>torage and marshalling yards to ensure efficient cane supply operations. Empty and full yards may be a combined yard.</w:t>
      </w:r>
    </w:p>
    <w:p w:rsidR="00000000" w:rsidRPr="00115A9E" w:rsidP="00115A9E">
      <w:pPr>
        <w:pStyle w:val="AllowPageBreak"/>
      </w:pPr>
    </w:p>
    <w:p w:rsidR="00000000" w:rsidRPr="00115A9E" w:rsidP="00115A9E">
      <w:pPr>
        <w:pStyle w:val="Heading1"/>
      </w:pPr>
      <w:bookmarkStart w:id="3" w:name="O_391077"/>
      <w:bookmarkEnd w:id="3"/>
      <w:r w:rsidRPr="00115A9E">
        <w:t>Application of the Unit</w:t>
      </w:r>
    </w:p>
    <w:p w:rsidR="00000000" w:rsidRPr="00115A9E" w:rsidP="00115A9E">
      <w:pPr>
        <w:pStyle w:val="BodyText"/>
      </w:pPr>
      <w:r w:rsidRPr="00115A9E">
        <w:t>This unit has application in the cane bins marshalling yards of a sugar mill.</w:t>
      </w:r>
    </w:p>
    <w:p w:rsidR="00000000" w:rsidRPr="00115A9E" w:rsidP="00115A9E">
      <w:pPr>
        <w:pStyle w:val="AllowPageBreak"/>
      </w:pPr>
    </w:p>
    <w:p w:rsidR="00000000" w:rsidRPr="00115A9E" w:rsidP="00115A9E">
      <w:pPr>
        <w:pStyle w:val="Heading1"/>
      </w:pPr>
      <w:bookmarkStart w:id="4" w:name="O_391078"/>
      <w:bookmarkEnd w:id="4"/>
      <w:r w:rsidRPr="00115A9E">
        <w:t>Li</w:t>
      </w:r>
      <w:r w:rsidRPr="00115A9E">
        <w:t>censing/Regulatory Information</w:t>
      </w:r>
    </w:p>
    <w:p w:rsidR="00000000" w:rsidRPr="00115A9E" w:rsidP="00115A9E">
      <w:pPr>
        <w:pStyle w:val="BodyText"/>
      </w:pPr>
      <w:r w:rsidRPr="00115A9E">
        <w:t>Not applicable.</w:t>
      </w:r>
    </w:p>
    <w:p w:rsidR="00000000" w:rsidRPr="00115A9E" w:rsidP="00115A9E">
      <w:pPr>
        <w:pStyle w:val="AllowPageBreak"/>
      </w:pPr>
    </w:p>
    <w:p w:rsidR="00000000" w:rsidRPr="00115A9E" w:rsidP="00115A9E">
      <w:pPr>
        <w:pStyle w:val="Heading1"/>
      </w:pPr>
      <w:bookmarkStart w:id="5" w:name="O_391079"/>
      <w:bookmarkEnd w:id="5"/>
      <w:r w:rsidRPr="00115A9E">
        <w:t>Pre-Requisites</w:t>
      </w:r>
    </w:p>
    <w:p w:rsidR="00000000" w:rsidRPr="00115A9E" w:rsidP="00115A9E">
      <w:pPr>
        <w:pStyle w:val="BodyText"/>
      </w:pPr>
      <w:r w:rsidRPr="00115A9E">
        <w:t>There are no pre-requisite units for this competency standard.</w:t>
      </w:r>
    </w:p>
    <w:p w:rsidR="00000000" w:rsidRPr="00115A9E" w:rsidP="00115A9E">
      <w:pPr>
        <w:pStyle w:val="AllowPageBreak"/>
      </w:pPr>
    </w:p>
    <w:p w:rsidR="00000000" w:rsidRPr="00115A9E" w:rsidP="00115A9E">
      <w:pPr>
        <w:pStyle w:val="Heading1"/>
      </w:pPr>
      <w:bookmarkStart w:id="6" w:name="O_391080"/>
      <w:bookmarkEnd w:id="6"/>
      <w:r w:rsidRPr="00115A9E">
        <w:t>Employability Skills Information</w:t>
      </w:r>
    </w:p>
    <w:p w:rsidR="00000000" w:rsidRPr="00115A9E" w:rsidP="00115A9E">
      <w:pPr>
        <w:pStyle w:val="BodyText"/>
      </w:pPr>
      <w:r w:rsidRPr="00115A9E">
        <w:t>This unit contains employability skills.</w:t>
      </w:r>
    </w:p>
    <w:p w:rsidR="00000000" w:rsidRPr="00115A9E" w:rsidP="00115A9E">
      <w:pPr>
        <w:pStyle w:val="AllowPageBreak"/>
      </w:pPr>
    </w:p>
    <w:p w:rsidR="00000000" w:rsidRPr="00115A9E" w:rsidP="00115A9E">
      <w:pPr>
        <w:pStyle w:val="Heading1"/>
      </w:pPr>
      <w:bookmarkStart w:id="7" w:name="O_391081"/>
      <w:bookmarkEnd w:id="7"/>
      <w:r w:rsidRPr="00115A9E">
        <w:t>Elements and Performance Criteria Pre-Content</w:t>
      </w:r>
    </w:p>
    <w:tbl>
      <w:tblPr>
        <w:tblW w:w="9462" w:type="dxa"/>
        <w:tblLayout w:type="fixed"/>
        <w:tblCellMar>
          <w:left w:w="62" w:type="dxa"/>
          <w:right w:w="62" w:type="dxa"/>
        </w:tblCellMar>
        <w:tblLook w:val="0000"/>
      </w:tblPr>
      <w:tblGrid>
        <w:gridCol w:w="2700"/>
        <w:gridCol w:w="6762"/>
      </w:tblGrid>
      <w:tr w:rsidTr="00115A9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15A9E">
            <w:pPr>
              <w:pStyle w:val="BodyText"/>
              <w:rPr>
                <w:lang w:val="en-NZ"/>
              </w:rPr>
            </w:pPr>
            <w:r w:rsidRPr="00115A9E">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115A9E" w:rsidP="00115A9E">
            <w:pPr>
              <w:pStyle w:val="BodyText"/>
            </w:pPr>
            <w:r w:rsidRPr="00115A9E">
              <w:t>Performance criteria describe the performance needed to demonstrate achievement of the element. Where bold italicised text is used, further info</w:t>
            </w:r>
            <w:r w:rsidRPr="00115A9E">
              <w:t>rmation is detailed in the required skills and knowledge section and the range statement. Assessment of performance is to be consistent with the evidence guide.</w:t>
            </w:r>
          </w:p>
        </w:tc>
      </w:tr>
    </w:tbl>
    <w:p w:rsidR="00000000" w:rsidRPr="00115A9E" w:rsidP="00115A9E">
      <w:pPr>
        <w:pStyle w:val="BodyText"/>
      </w:pPr>
    </w:p>
    <w:p w:rsidR="00000000" w:rsidRPr="00115A9E" w:rsidP="00115A9E">
      <w:pPr>
        <w:pStyle w:val="AllowPageBreak"/>
      </w:pPr>
    </w:p>
    <w:p w:rsidR="00000000" w:rsidRPr="00115A9E" w:rsidP="00115A9E">
      <w:pPr>
        <w:pStyle w:val="Heading1"/>
      </w:pPr>
      <w:bookmarkStart w:id="8" w:name="O_391082"/>
      <w:bookmarkEnd w:id="8"/>
      <w:r w:rsidRPr="00115A9E">
        <w:t>Elements and Performance Criteria</w:t>
      </w:r>
    </w:p>
    <w:tbl>
      <w:tblPr>
        <w:tblW w:w="9462" w:type="dxa"/>
        <w:tblLayout w:type="fixed"/>
        <w:tblCellMar>
          <w:left w:w="62" w:type="dxa"/>
          <w:right w:w="62" w:type="dxa"/>
        </w:tblCellMar>
        <w:tblLook w:val="0000"/>
      </w:tblPr>
      <w:tblGrid>
        <w:gridCol w:w="2700"/>
        <w:gridCol w:w="6762"/>
      </w:tblGrid>
      <w:tr w:rsidTr="00115A9E">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15A9E">
            <w:pPr>
              <w:pStyle w:val="TableHeading"/>
            </w:pPr>
            <w:r w:rsidRPr="00115A9E">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vAlign w:val="bottom"/>
          </w:tcPr>
          <w:p w:rsidR="00000000" w:rsidP="00115A9E">
            <w:pPr>
              <w:pStyle w:val="TableHeading"/>
            </w:pPr>
            <w:r w:rsidRPr="00115A9E">
              <w:t>PERFORMANCE CRITERIA</w:t>
            </w:r>
          </w:p>
        </w:tc>
      </w:tr>
      <w:tr w:rsidTr="00115A9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A9E">
            <w:pPr>
              <w:pStyle w:val="List"/>
              <w:rPr>
                <w:lang w:val="en-NZ"/>
              </w:rPr>
            </w:pPr>
            <w:r w:rsidRPr="00115A9E">
              <w:t>1  Prepare for work in a cane bin marshalling yard</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A9E" w:rsidP="00115A9E">
            <w:pPr>
              <w:pStyle w:val="List"/>
            </w:pPr>
            <w:r w:rsidRPr="00115A9E">
              <w:t>1.1 Personal protective clothing and equipment is selected and used</w:t>
            </w:r>
          </w:p>
          <w:p w:rsidR="00000000" w:rsidP="00115A9E">
            <w:pPr>
              <w:pStyle w:val="List"/>
              <w:rPr>
                <w:lang w:val="en-NZ"/>
              </w:rPr>
            </w:pPr>
            <w:r w:rsidRPr="00115A9E">
              <w:t>1.2 Health and safety hazards / maintenance requirements are identified and reported to appropriate personnel according to workplace repo</w:t>
            </w:r>
            <w:r w:rsidRPr="00115A9E">
              <w:t>rting procedures</w:t>
            </w:r>
          </w:p>
        </w:tc>
      </w:tr>
      <w:tr w:rsidTr="00115A9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A9E">
            <w:pPr>
              <w:pStyle w:val="List"/>
              <w:rPr>
                <w:lang w:val="en-NZ"/>
              </w:rPr>
            </w:pPr>
            <w:r w:rsidRPr="00115A9E">
              <w:t>2  Move full cane bins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A9E" w:rsidP="00115A9E">
            <w:pPr>
              <w:pStyle w:val="List"/>
            </w:pPr>
            <w:r w:rsidRPr="00115A9E">
              <w:t>2.1 Continuity of cane supply to mill is managed to meet cut to crush sequence</w:t>
            </w:r>
          </w:p>
          <w:p w:rsidR="00000000" w:rsidRPr="00115A9E" w:rsidP="00115A9E">
            <w:pPr>
              <w:pStyle w:val="List"/>
            </w:pPr>
            <w:r w:rsidRPr="00115A9E">
              <w:t>2.2 Cane bins are connected to the weighbridge system in accordance with workplace procedures</w:t>
            </w:r>
          </w:p>
          <w:p w:rsidR="00000000" w:rsidRPr="00115A9E" w:rsidP="00115A9E">
            <w:pPr>
              <w:pStyle w:val="List"/>
            </w:pPr>
            <w:r w:rsidRPr="00115A9E">
              <w:t>2.3 Yard control systems are operated to p</w:t>
            </w:r>
            <w:r w:rsidRPr="00115A9E">
              <w:t>otential</w:t>
            </w:r>
          </w:p>
          <w:p w:rsidR="00000000" w:rsidP="00115A9E">
            <w:pPr>
              <w:pStyle w:val="List"/>
              <w:rPr>
                <w:lang w:val="en-NZ"/>
              </w:rPr>
            </w:pPr>
            <w:r w:rsidRPr="00115A9E">
              <w:t>2.4 Bins are un-coupled in accordance with OHS requirements and workplace procedures</w:t>
            </w:r>
          </w:p>
        </w:tc>
      </w:tr>
      <w:tr w:rsidTr="00115A9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A9E">
            <w:pPr>
              <w:pStyle w:val="List"/>
              <w:rPr>
                <w:lang w:val="en-NZ"/>
              </w:rPr>
            </w:pPr>
            <w:r w:rsidRPr="00115A9E">
              <w:t>3  Move empty cane bins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A9E" w:rsidP="00115A9E">
            <w:pPr>
              <w:pStyle w:val="List"/>
            </w:pPr>
            <w:r w:rsidRPr="00115A9E">
              <w:t>3.1 Bin supply to empty yard is managed to meet traffic schedule requirements</w:t>
            </w:r>
          </w:p>
          <w:p w:rsidR="00000000" w:rsidRPr="00115A9E" w:rsidP="00115A9E">
            <w:pPr>
              <w:pStyle w:val="List"/>
            </w:pPr>
            <w:r w:rsidRPr="00115A9E">
              <w:t>3.2 Bins are re-coupled/pinned in accordance with OHS</w:t>
            </w:r>
          </w:p>
          <w:p w:rsidR="00000000" w:rsidRPr="00115A9E" w:rsidP="00115A9E">
            <w:pPr>
              <w:pStyle w:val="BodyText"/>
            </w:pPr>
            <w:r w:rsidRPr="00115A9E">
              <w:t>requi</w:t>
            </w:r>
            <w:r w:rsidRPr="00115A9E">
              <w:t>rements and workplace procedures</w:t>
            </w:r>
          </w:p>
          <w:p w:rsidR="00000000" w:rsidP="00115A9E">
            <w:pPr>
              <w:pStyle w:val="BodyText"/>
              <w:rPr>
                <w:lang w:val="en-NZ"/>
              </w:rPr>
            </w:pPr>
            <w:r w:rsidRPr="00115A9E">
              <w:t>3.3 Yard control systems are operated to potential</w:t>
            </w:r>
          </w:p>
        </w:tc>
      </w:tr>
      <w:tr w:rsidTr="00115A9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A9E">
            <w:pPr>
              <w:pStyle w:val="List"/>
              <w:rPr>
                <w:lang w:val="en-NZ"/>
              </w:rPr>
            </w:pPr>
            <w:r w:rsidRPr="00115A9E">
              <w:t>4.  Analyse and respond to unacceptable performance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A9E" w:rsidP="00115A9E">
            <w:pPr>
              <w:pStyle w:val="List"/>
            </w:pPr>
            <w:r w:rsidRPr="00115A9E">
              <w:t>4.1 System operating conditions are monitored to identify causes of unacceptable performance</w:t>
            </w:r>
          </w:p>
          <w:p w:rsidR="00000000" w:rsidRPr="00115A9E" w:rsidP="00115A9E">
            <w:pPr>
              <w:pStyle w:val="List"/>
            </w:pPr>
            <w:r w:rsidRPr="00115A9E">
              <w:t>4.2 Yard derailments are reported and rectified in accordance with workplace procedures</w:t>
            </w:r>
          </w:p>
          <w:p w:rsidR="00000000" w:rsidRPr="00115A9E" w:rsidP="00115A9E">
            <w:pPr>
              <w:pStyle w:val="List"/>
            </w:pPr>
            <w:r w:rsidRPr="00115A9E">
              <w:t>4.3 Bins requiring repair are identified and removed to bin repair line</w:t>
            </w:r>
          </w:p>
          <w:p w:rsidR="00000000" w:rsidRPr="00115A9E" w:rsidP="00115A9E">
            <w:pPr>
              <w:pStyle w:val="List"/>
            </w:pPr>
            <w:r w:rsidRPr="00115A9E">
              <w:t>4.4 System error messages are responded to and appropriate corrective action is taken</w:t>
            </w:r>
          </w:p>
        </w:tc>
      </w:tr>
    </w:tbl>
    <w:p w:rsidR="00000000" w:rsidRPr="00115A9E" w:rsidP="00115A9E">
      <w:pPr>
        <w:pStyle w:val="BodyText"/>
      </w:pPr>
    </w:p>
    <w:p w:rsidR="00000000" w:rsidRPr="00115A9E" w:rsidP="00115A9E">
      <w:pPr>
        <w:pStyle w:val="AllowPageBreak"/>
      </w:pPr>
    </w:p>
    <w:p w:rsidR="00000000" w:rsidRPr="00115A9E" w:rsidP="00115A9E">
      <w:pPr>
        <w:pStyle w:val="Heading1"/>
      </w:pPr>
      <w:bookmarkStart w:id="9" w:name="O_391083"/>
      <w:bookmarkEnd w:id="9"/>
      <w:r w:rsidRPr="00115A9E">
        <w:t>Required Skills and Knowledge</w:t>
      </w:r>
    </w:p>
    <w:p w:rsidR="00000000" w:rsidRPr="00115A9E" w:rsidP="00115A9E">
      <w:pPr>
        <w:pStyle w:val="BodyText"/>
      </w:pPr>
      <w:r w:rsidRPr="00115A9E">
        <w:t>This section describes the skills and knowledge required for this unit.</w:t>
      </w:r>
    </w:p>
    <w:tbl>
      <w:tblPr>
        <w:tblW w:w="9462" w:type="dxa"/>
        <w:tblLayout w:type="fixed"/>
        <w:tblCellMar>
          <w:left w:w="62" w:type="dxa"/>
          <w:right w:w="62" w:type="dxa"/>
        </w:tblCellMar>
        <w:tblLook w:val="0000"/>
      </w:tblPr>
      <w:tblGrid>
        <w:gridCol w:w="9462"/>
      </w:tblGrid>
      <w:tr w:rsidTr="00115A9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15A9E">
            <w:pPr>
              <w:pStyle w:val="TableHeading"/>
            </w:pPr>
            <w:r w:rsidRPr="00115A9E">
              <w:t>Required skills include:</w:t>
            </w:r>
          </w:p>
        </w:tc>
      </w:tr>
      <w:tr w:rsidTr="00115A9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115A9E" w:rsidP="00115A9E">
            <w:pPr>
              <w:pStyle w:val="BodyText"/>
            </w:pPr>
            <w:r w:rsidRPr="00115A9E">
              <w:rPr>
                <w:rStyle w:val="SpecialBold"/>
              </w:rPr>
              <w:t>Ability to:</w:t>
            </w:r>
          </w:p>
          <w:p w:rsidR="00000000" w:rsidRPr="00115A9E" w:rsidP="00115A9E">
            <w:pPr>
              <w:pStyle w:val="ListBullet"/>
            </w:pPr>
            <w:r w:rsidRPr="00115A9E">
              <w:t>select, fit and use personal protective clothing and/or equipment</w:t>
            </w:r>
          </w:p>
          <w:p w:rsidR="00000000" w:rsidRPr="00115A9E" w:rsidP="00115A9E">
            <w:pPr>
              <w:pStyle w:val="ListBullet"/>
            </w:pPr>
            <w:r w:rsidRPr="00115A9E">
              <w:t>confirm yard control status at start up</w:t>
            </w:r>
          </w:p>
          <w:p w:rsidR="00000000" w:rsidRPr="00115A9E" w:rsidP="00115A9E">
            <w:pPr>
              <w:pStyle w:val="ListBullet"/>
            </w:pPr>
            <w:r w:rsidRPr="00115A9E">
              <w:t>monitor yard capacity to direct cane bins to appropriate yard location</w:t>
            </w:r>
          </w:p>
          <w:p w:rsidR="00000000" w:rsidRPr="00115A9E" w:rsidP="00115A9E">
            <w:pPr>
              <w:pStyle w:val="ListBullet"/>
            </w:pPr>
            <w:r w:rsidRPr="00115A9E">
              <w:t>operate systems (either automated or manual) to locate bins in required location</w:t>
            </w:r>
          </w:p>
          <w:p w:rsidR="00000000" w:rsidRPr="00115A9E" w:rsidP="00115A9E">
            <w:pPr>
              <w:pStyle w:val="ListBullet"/>
            </w:pPr>
            <w:r w:rsidRPr="00115A9E">
              <w:t>monitor supply of full bins to the weighbridge system to meet cut-to-crush sequence</w:t>
            </w:r>
          </w:p>
          <w:p w:rsidR="00000000" w:rsidRPr="00115A9E" w:rsidP="00115A9E">
            <w:pPr>
              <w:pStyle w:val="ListBullet"/>
            </w:pPr>
            <w:r w:rsidRPr="00115A9E">
              <w:t>connect rake to weig</w:t>
            </w:r>
            <w:r w:rsidRPr="00115A9E">
              <w:t>hbridge system</w:t>
            </w:r>
          </w:p>
          <w:p w:rsidR="00000000" w:rsidRPr="00115A9E" w:rsidP="00115A9E">
            <w:pPr>
              <w:pStyle w:val="ListBullet"/>
            </w:pPr>
            <w:r w:rsidRPr="00115A9E">
              <w:t>couple and uncouple cane bins safely to meet required length</w:t>
            </w:r>
          </w:p>
          <w:p w:rsidR="00000000" w:rsidRPr="00115A9E" w:rsidP="00115A9E">
            <w:pPr>
              <w:pStyle w:val="ListBullet"/>
            </w:pPr>
            <w:r w:rsidRPr="00115A9E">
              <w:t>receive and report derailments</w:t>
            </w:r>
          </w:p>
          <w:p w:rsidR="00000000" w:rsidRPr="00115A9E" w:rsidP="00115A9E">
            <w:pPr>
              <w:pStyle w:val="ListBullet"/>
            </w:pPr>
            <w:r w:rsidRPr="00115A9E">
              <w:t>divert damaged bins for repair</w:t>
            </w:r>
          </w:p>
          <w:p w:rsidR="00000000" w:rsidRPr="00115A9E" w:rsidP="00115A9E">
            <w:pPr>
              <w:pStyle w:val="ListBullet"/>
            </w:pPr>
            <w:r w:rsidRPr="00115A9E">
              <w:t>monitor marshalling yard including checking:</w:t>
            </w:r>
          </w:p>
          <w:p w:rsidR="00000000" w:rsidRPr="00115A9E" w:rsidP="00115A9E">
            <w:pPr>
              <w:pStyle w:val="ListBullet"/>
            </w:pPr>
            <w:r w:rsidRPr="00115A9E">
              <w:t>that bins are recoupled to meet requirements of traffic schedule</w:t>
            </w:r>
          </w:p>
          <w:p w:rsidR="00000000" w:rsidRPr="00115A9E" w:rsidP="00115A9E">
            <w:pPr>
              <w:pStyle w:val="ListBullet"/>
            </w:pPr>
            <w:r w:rsidRPr="00115A9E">
              <w:t>that bin</w:t>
            </w:r>
            <w:r w:rsidRPr="00115A9E">
              <w:t xml:space="preserve"> identifiers match the actual bins</w:t>
            </w:r>
          </w:p>
          <w:p w:rsidR="00000000" w:rsidRPr="00115A9E" w:rsidP="00115A9E">
            <w:pPr>
              <w:pStyle w:val="ListBullet"/>
            </w:pPr>
            <w:r w:rsidRPr="00115A9E">
              <w:t>the position of locos in the yard</w:t>
            </w:r>
          </w:p>
          <w:p w:rsidR="00000000" w:rsidRPr="00115A9E" w:rsidP="00115A9E">
            <w:pPr>
              <w:pStyle w:val="ListBullet"/>
            </w:pPr>
            <w:r w:rsidRPr="00115A9E">
              <w:t>liaise with loco and equipment drivers</w:t>
            </w:r>
          </w:p>
          <w:p w:rsidR="00000000" w:rsidRPr="00115A9E" w:rsidP="00115A9E">
            <w:pPr>
              <w:pStyle w:val="ListBullet"/>
            </w:pPr>
            <w:r w:rsidRPr="00115A9E">
              <w:t>use communication systems including use of a 2-way radio and hand and audible signalling</w:t>
            </w:r>
          </w:p>
          <w:p w:rsidR="00000000" w:rsidRPr="00115A9E" w:rsidP="00115A9E">
            <w:pPr>
              <w:pStyle w:val="ListBullet"/>
            </w:pPr>
            <w:r w:rsidRPr="00115A9E">
              <w:t>complete yard control records and prepare for changeover</w:t>
            </w:r>
          </w:p>
          <w:p w:rsidR="00000000" w:rsidP="00115A9E">
            <w:pPr>
              <w:pStyle w:val="ListBullet"/>
              <w:rPr>
                <w:lang w:val="en-NZ"/>
              </w:rPr>
            </w:pPr>
            <w:r w:rsidRPr="00115A9E">
              <w:t>take corrective action in response to abnormal equipment and/or system performance, including derailments</w:t>
            </w:r>
          </w:p>
        </w:tc>
      </w:tr>
      <w:tr w:rsidTr="00115A9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15A9E">
            <w:pPr>
              <w:pStyle w:val="TableHeading"/>
            </w:pPr>
            <w:r w:rsidRPr="00115A9E">
              <w:t>Required knowledge includes:</w:t>
            </w:r>
          </w:p>
        </w:tc>
      </w:tr>
      <w:tr w:rsidTr="00115A9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115A9E" w:rsidP="00115A9E">
            <w:pPr>
              <w:pStyle w:val="BodyText"/>
            </w:pPr>
            <w:r w:rsidRPr="00115A9E">
              <w:rPr>
                <w:rStyle w:val="SpecialBold"/>
              </w:rPr>
              <w:t>Knowledge of:</w:t>
            </w:r>
          </w:p>
          <w:p w:rsidR="00000000" w:rsidRPr="00115A9E" w:rsidP="00115A9E">
            <w:pPr>
              <w:pStyle w:val="ListBullet"/>
            </w:pPr>
            <w:r w:rsidRPr="00115A9E">
              <w:t>relevant state OHS legislation, standards and industry codes of practice relating to work responsibiliti</w:t>
            </w:r>
            <w:r w:rsidRPr="00115A9E">
              <w:t>es</w:t>
            </w:r>
          </w:p>
          <w:p w:rsidR="00000000" w:rsidRPr="00115A9E" w:rsidP="00115A9E">
            <w:pPr>
              <w:pStyle w:val="ListBullet"/>
            </w:pPr>
            <w:r w:rsidRPr="00115A9E">
              <w:t>safe work procedures including awareness of health and safety hazards related to yard control and associated control measures</w:t>
            </w:r>
          </w:p>
          <w:p w:rsidR="00000000" w:rsidRPr="00115A9E" w:rsidP="00115A9E">
            <w:pPr>
              <w:pStyle w:val="ListBullet"/>
            </w:pPr>
            <w:r w:rsidRPr="00115A9E">
              <w:t>workplace documentation including consignment notes and trip/cut-to-crush documentation</w:t>
            </w:r>
          </w:p>
          <w:p w:rsidR="00000000" w:rsidRPr="00115A9E" w:rsidP="00115A9E">
            <w:pPr>
              <w:pStyle w:val="ListBullet"/>
            </w:pPr>
            <w:r w:rsidRPr="00115A9E">
              <w:t>functions and basic operating principle</w:t>
            </w:r>
            <w:r w:rsidRPr="00115A9E">
              <w:t>s of equipment and systems used</w:t>
            </w:r>
          </w:p>
          <w:p w:rsidR="00000000" w:rsidRPr="00115A9E" w:rsidP="00115A9E">
            <w:pPr>
              <w:pStyle w:val="ListBullet"/>
            </w:pPr>
            <w:r w:rsidRPr="00115A9E">
              <w:t>function and location of signalling devices used to monitor cane bin movements in the yard</w:t>
            </w:r>
          </w:p>
          <w:p w:rsidR="00000000" w:rsidRPr="00115A9E" w:rsidP="00115A9E">
            <w:pPr>
              <w:pStyle w:val="ListBullet"/>
            </w:pPr>
            <w:r w:rsidRPr="00115A9E">
              <w:t>cane yard system layout and line holding capacities</w:t>
            </w:r>
          </w:p>
          <w:p w:rsidR="00000000" w:rsidRPr="00115A9E" w:rsidP="00115A9E">
            <w:pPr>
              <w:pStyle w:val="ListBullet"/>
            </w:pPr>
            <w:r w:rsidRPr="00115A9E">
              <w:t>implications of sub-optimal cut to crush times for mill performance and of disrupted supply</w:t>
            </w:r>
          </w:p>
          <w:p w:rsidR="00000000" w:rsidRPr="00115A9E" w:rsidP="00115A9E">
            <w:pPr>
              <w:pStyle w:val="ListBullet"/>
            </w:pPr>
            <w:r w:rsidRPr="00115A9E">
              <w:t>operating requirements and controls</w:t>
            </w:r>
          </w:p>
          <w:p w:rsidR="00000000" w:rsidRPr="00115A9E" w:rsidP="00115A9E">
            <w:pPr>
              <w:pStyle w:val="ListBullet"/>
            </w:pPr>
            <w:r w:rsidRPr="00115A9E">
              <w:t>communication system protocols</w:t>
            </w:r>
          </w:p>
          <w:p w:rsidR="00000000" w:rsidRPr="00115A9E" w:rsidP="00115A9E">
            <w:pPr>
              <w:pStyle w:val="ListBullet"/>
            </w:pPr>
            <w:r w:rsidRPr="00115A9E">
              <w:t>procedures for responding to emergency situations</w:t>
            </w:r>
          </w:p>
          <w:p w:rsidR="00000000" w:rsidRPr="00115A9E" w:rsidP="00115A9E">
            <w:pPr>
              <w:pStyle w:val="ListBullet"/>
            </w:pPr>
            <w:r w:rsidRPr="00115A9E">
              <w:t>reporting and recording systems</w:t>
            </w:r>
          </w:p>
        </w:tc>
      </w:tr>
    </w:tbl>
    <w:p w:rsidR="00000000" w:rsidRPr="00115A9E" w:rsidP="00115A9E">
      <w:pPr>
        <w:pStyle w:val="BodyText"/>
      </w:pPr>
    </w:p>
    <w:p w:rsidR="00000000" w:rsidRPr="00115A9E" w:rsidP="00115A9E">
      <w:pPr>
        <w:pStyle w:val="AllowPageBreak"/>
      </w:pPr>
    </w:p>
    <w:p w:rsidR="00000000" w:rsidRPr="00115A9E" w:rsidP="00115A9E">
      <w:pPr>
        <w:pStyle w:val="Heading1"/>
      </w:pPr>
      <w:bookmarkStart w:id="10" w:name="O_391084"/>
      <w:bookmarkEnd w:id="10"/>
      <w:r w:rsidRPr="00115A9E">
        <w:t>Evidence Guide</w:t>
      </w:r>
    </w:p>
    <w:tbl>
      <w:tblPr>
        <w:tblW w:w="9462" w:type="dxa"/>
        <w:tblLayout w:type="fixed"/>
        <w:tblCellMar>
          <w:left w:w="62" w:type="dxa"/>
          <w:right w:w="62" w:type="dxa"/>
        </w:tblCellMar>
        <w:tblLook w:val="0000"/>
      </w:tblPr>
      <w:tblGrid>
        <w:gridCol w:w="3800"/>
        <w:gridCol w:w="5662"/>
      </w:tblGrid>
      <w:tr w:rsidTr="00115A9E">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15A9E">
            <w:pPr>
              <w:pStyle w:val="BodyText"/>
              <w:rPr>
                <w:lang w:val="en-NZ"/>
              </w:rPr>
            </w:pPr>
            <w:r w:rsidRPr="00115A9E">
              <w:t>The evidence guide provides advice on assessment and must be read in conjunction with the performance criteria, required skills and knowledge, range statement and the Assessment Guidelines for the Training Package.</w:t>
            </w:r>
          </w:p>
        </w:tc>
      </w:tr>
      <w:tr w:rsidTr="00115A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A9E">
            <w:pPr>
              <w:pStyle w:val="BodyText"/>
              <w:rPr>
                <w:lang w:val="en-NZ"/>
              </w:rPr>
            </w:pPr>
            <w:r w:rsidRPr="00115A9E">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A9E">
            <w:pPr>
              <w:pStyle w:val="BodyText"/>
              <w:rPr>
                <w:lang w:val="en-NZ"/>
              </w:rPr>
            </w:pPr>
            <w:r w:rsidRPr="00115A9E">
              <w:t>Assessment must be carried out in a manner that recognises the cultural and literacy requirements of the assessee and is appropriate to the work performed.</w:t>
            </w:r>
          </w:p>
        </w:tc>
      </w:tr>
      <w:tr w:rsidTr="00115A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A9E">
            <w:pPr>
              <w:pStyle w:val="BodyText"/>
              <w:rPr>
                <w:lang w:val="en-NZ"/>
              </w:rPr>
            </w:pPr>
            <w:r w:rsidRPr="00115A9E">
              <w:t>Critical aspects for assessment and evidence required to demonstrate compete</w:t>
            </w:r>
            <w:r w:rsidRPr="00115A9E">
              <w:t>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A9E" w:rsidP="00115A9E">
            <w:pPr>
              <w:pStyle w:val="BodyText"/>
            </w:pPr>
            <w:r w:rsidRPr="00115A9E">
              <w:t>Evidence of ability to:</w:t>
            </w:r>
          </w:p>
          <w:p w:rsidR="00000000" w:rsidRPr="00115A9E" w:rsidP="00115A9E">
            <w:pPr>
              <w:pStyle w:val="ListBullet"/>
            </w:pPr>
            <w:r w:rsidRPr="00115A9E">
              <w:t>monitor yard capacity to direct cane bins to appropriate yard location</w:t>
            </w:r>
          </w:p>
          <w:p w:rsidR="00000000" w:rsidRPr="00115A9E" w:rsidP="00115A9E">
            <w:pPr>
              <w:pStyle w:val="ListBullet"/>
            </w:pPr>
            <w:r w:rsidRPr="00115A9E">
              <w:t>sequence supply of full bins to the weighbridge system to meet cut-to-crush sequence</w:t>
            </w:r>
          </w:p>
          <w:p w:rsidR="00000000" w:rsidRPr="00115A9E" w:rsidP="00115A9E">
            <w:pPr>
              <w:pStyle w:val="ListBullet"/>
            </w:pPr>
            <w:r w:rsidRPr="00115A9E">
              <w:t>couple and uncouple cane bins safely to meet required leng</w:t>
            </w:r>
            <w:r w:rsidRPr="00115A9E">
              <w:t>th</w:t>
            </w:r>
          </w:p>
          <w:p w:rsidR="00000000" w:rsidRPr="00115A9E" w:rsidP="00115A9E">
            <w:pPr>
              <w:pStyle w:val="ListBullet"/>
            </w:pPr>
            <w:r w:rsidRPr="00115A9E">
              <w:t>liaise with loco and equipment drivers</w:t>
            </w:r>
          </w:p>
          <w:p w:rsidR="00000000" w:rsidP="00115A9E">
            <w:pPr>
              <w:pStyle w:val="ListBullet"/>
              <w:rPr>
                <w:lang w:val="en-NZ"/>
              </w:rPr>
            </w:pPr>
            <w:r w:rsidRPr="00115A9E">
              <w:t>use communication systems.</w:t>
            </w:r>
          </w:p>
        </w:tc>
      </w:tr>
      <w:tr w:rsidTr="00115A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A9E">
            <w:pPr>
              <w:pStyle w:val="BodyText"/>
              <w:rPr>
                <w:lang w:val="en-NZ"/>
              </w:rPr>
            </w:pPr>
            <w:r w:rsidRPr="00115A9E">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A9E" w:rsidP="00115A9E">
            <w:pPr>
              <w:pStyle w:val="ListBullet"/>
            </w:pPr>
            <w:r w:rsidRPr="00115A9E">
              <w:t>Assessment must occur in a real or simulated workplace where the assessee has access to:</w:t>
            </w:r>
          </w:p>
          <w:p w:rsidR="00000000" w:rsidRPr="00115A9E" w:rsidP="00115A9E">
            <w:pPr>
              <w:pStyle w:val="ListBullet"/>
            </w:pPr>
            <w:r w:rsidRPr="00115A9E">
              <w:t>Cane yards and related signalling and control systems</w:t>
            </w:r>
          </w:p>
          <w:p w:rsidR="00000000" w:rsidRPr="00115A9E" w:rsidP="00115A9E">
            <w:pPr>
              <w:pStyle w:val="ListBullet"/>
            </w:pPr>
            <w:r w:rsidRPr="00115A9E">
              <w:t>Cane locos (does not include operation)</w:t>
            </w:r>
          </w:p>
          <w:p w:rsidR="00000000" w:rsidRPr="00115A9E" w:rsidP="00115A9E">
            <w:pPr>
              <w:pStyle w:val="ListBullet"/>
            </w:pPr>
            <w:r w:rsidRPr="00115A9E">
              <w:t>Relevant codes of practice and industry standards</w:t>
            </w:r>
          </w:p>
          <w:p w:rsidR="00000000" w:rsidRPr="00115A9E" w:rsidP="00115A9E">
            <w:pPr>
              <w:pStyle w:val="ListBullet"/>
            </w:pPr>
            <w:r w:rsidRPr="00115A9E">
              <w:t>Bin consignment and trip/cut-to-crush documentation</w:t>
            </w:r>
          </w:p>
          <w:p w:rsidR="00000000" w:rsidRPr="00115A9E" w:rsidP="00115A9E">
            <w:pPr>
              <w:pStyle w:val="ListBullet"/>
            </w:pPr>
            <w:r w:rsidRPr="00115A9E">
              <w:t>Operating procedures and related advice on equipment operati</w:t>
            </w:r>
            <w:r w:rsidRPr="00115A9E">
              <w:t>on</w:t>
            </w:r>
          </w:p>
          <w:p w:rsidR="00000000" w:rsidRPr="00115A9E" w:rsidP="00115A9E">
            <w:pPr>
              <w:pStyle w:val="ListBullet"/>
            </w:pPr>
            <w:r w:rsidRPr="00115A9E">
              <w:t>Loaded and empty bins</w:t>
            </w:r>
          </w:p>
          <w:p w:rsidR="00000000" w:rsidRPr="00115A9E" w:rsidP="00115A9E">
            <w:pPr>
              <w:pStyle w:val="ListBullet"/>
            </w:pPr>
            <w:r w:rsidRPr="00115A9E">
              <w:t>Personal protective clothing and equipment</w:t>
            </w:r>
          </w:p>
          <w:p w:rsidR="00000000" w:rsidRPr="00115A9E" w:rsidP="00115A9E">
            <w:pPr>
              <w:pStyle w:val="ListBullet"/>
            </w:pPr>
            <w:r w:rsidRPr="00115A9E">
              <w:t>Communication systems and equipment</w:t>
            </w:r>
          </w:p>
          <w:p w:rsidR="00000000" w:rsidRPr="00115A9E" w:rsidP="00115A9E">
            <w:pPr>
              <w:pStyle w:val="ListBullet"/>
            </w:pPr>
            <w:r w:rsidRPr="00115A9E">
              <w:t>Housekeeping standards and procedures</w:t>
            </w:r>
          </w:p>
          <w:p w:rsidR="00000000" w:rsidP="00115A9E">
            <w:pPr>
              <w:pStyle w:val="ListBullet"/>
              <w:rPr>
                <w:lang w:val="en-NZ"/>
              </w:rPr>
            </w:pPr>
            <w:r w:rsidRPr="00115A9E">
              <w:t>Workplace information recording systems, requirements and procedures.</w:t>
            </w:r>
          </w:p>
        </w:tc>
      </w:tr>
      <w:tr w:rsidTr="00115A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A9E">
            <w:pPr>
              <w:pStyle w:val="BodyText"/>
              <w:rPr>
                <w:lang w:val="en-NZ"/>
              </w:rPr>
            </w:pPr>
            <w:r w:rsidRPr="00115A9E">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A9E">
            <w:pPr>
              <w:pStyle w:val="BodyText"/>
              <w:rPr>
                <w:lang w:val="en-NZ"/>
              </w:rPr>
            </w:pPr>
            <w:r w:rsidRPr="00115A9E">
              <w:t>This unit should be assessed together with core units and other units of competency relevant to the function or work role.</w:t>
            </w:r>
          </w:p>
        </w:tc>
      </w:tr>
      <w:tr w:rsidTr="00115A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A9E">
            <w:pPr>
              <w:pStyle w:val="BodyText"/>
              <w:rPr>
                <w:lang w:val="en-NZ"/>
              </w:rPr>
            </w:pPr>
            <w:r w:rsidRPr="00115A9E">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A9E" w:rsidP="00115A9E">
            <w:pPr>
              <w:pStyle w:val="BodyText"/>
            </w:pPr>
            <w:r w:rsidRPr="00115A9E">
              <w:t>To ensure consistency in one's performance, competency should be demonstrated on more than one o</w:t>
            </w:r>
            <w:r w:rsidRPr="00115A9E">
              <w:t>ccasion over a period of time in order to cover a variety of circumstances, cases and responsibilities, and where possible, over a number of assessment activities.</w:t>
            </w:r>
          </w:p>
          <w:p w:rsidR="00000000" w:rsidRPr="00115A9E" w:rsidP="00115A9E">
            <w:pPr>
              <w:pStyle w:val="BodyText"/>
            </w:pPr>
            <w:r w:rsidRPr="00115A9E">
              <w:t>Other units of competency relevant to the work role should be assessed in conjunction with t</w:t>
            </w:r>
            <w:r w:rsidRPr="00115A9E">
              <w:t>his unit.</w:t>
            </w:r>
          </w:p>
        </w:tc>
      </w:tr>
    </w:tbl>
    <w:p w:rsidR="00000000" w:rsidRPr="00115A9E" w:rsidP="00115A9E">
      <w:pPr>
        <w:pStyle w:val="BodyText"/>
      </w:pPr>
    </w:p>
    <w:p w:rsidR="00000000" w:rsidRPr="00115A9E" w:rsidP="00115A9E">
      <w:pPr>
        <w:pStyle w:val="AllowPageBreak"/>
      </w:pPr>
    </w:p>
    <w:p w:rsidR="00000000" w:rsidRPr="00115A9E" w:rsidP="00115A9E">
      <w:pPr>
        <w:pStyle w:val="Heading1"/>
      </w:pPr>
      <w:bookmarkStart w:id="11" w:name="O_391085"/>
      <w:bookmarkEnd w:id="11"/>
      <w:r w:rsidRPr="00115A9E">
        <w:t>Range Statement</w:t>
      </w:r>
    </w:p>
    <w:tbl>
      <w:tblPr>
        <w:tblW w:w="9462" w:type="dxa"/>
        <w:tblLayout w:type="fixed"/>
        <w:tblCellMar>
          <w:left w:w="62" w:type="dxa"/>
          <w:right w:w="62" w:type="dxa"/>
        </w:tblCellMar>
        <w:tblLook w:val="0000"/>
      </w:tblPr>
      <w:tblGrid>
        <w:gridCol w:w="3546"/>
        <w:gridCol w:w="5916"/>
      </w:tblGrid>
      <w:tr w:rsidTr="00115A9E">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15A9E">
            <w:pPr>
              <w:pStyle w:val="BodyText"/>
              <w:rPr>
                <w:lang w:val="en-NZ"/>
              </w:rPr>
            </w:pPr>
            <w:r w:rsidRPr="00115A9E">
              <w:t>The range statement relates to the unit of competency as a whole. It allows for different work environments and situations that may affect performance. Bold italicised wording, if used in the performance criteri</w:t>
            </w:r>
            <w:r w:rsidRPr="00115A9E">
              <w:t>a, is detailed below. Essential operating conditions that may be present with training and assessment (depending on the work situation, needs of the candidate, accessibility of the item, and local industry and regional contexts) may also be included.</w:t>
            </w:r>
          </w:p>
        </w:tc>
      </w:tr>
      <w:tr w:rsidTr="00115A9E">
        <w:tblPrEx>
          <w:tblW w:w="9462" w:type="dxa"/>
          <w:tblLayout w:type="fixed"/>
          <w:tblCellMar>
            <w:left w:w="62" w:type="dxa"/>
            <w:right w:w="62" w:type="dxa"/>
          </w:tblCellMar>
          <w:tblLook w:val="0000"/>
        </w:tblPrEx>
        <w:tc>
          <w:tcPr>
            <w:tcW w:w="3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A9E">
            <w:pPr>
              <w:pStyle w:val="BodyText"/>
              <w:rPr>
                <w:lang w:val="en-NZ"/>
              </w:rPr>
            </w:pPr>
            <w:r w:rsidRPr="00115A9E">
              <w:rPr>
                <w:rStyle w:val="SpecialBold"/>
              </w:rPr>
              <w:t>Pol</w:t>
            </w:r>
            <w:r w:rsidRPr="00115A9E">
              <w:rPr>
                <w:rStyle w:val="SpecialBold"/>
              </w:rPr>
              <w:t>icies and procedures</w:t>
            </w:r>
          </w:p>
        </w:tc>
        <w:tc>
          <w:tcPr>
            <w:tcW w:w="5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A9E">
            <w:pPr>
              <w:pStyle w:val="BodyText"/>
              <w:rPr>
                <w:lang w:val="en-NZ"/>
              </w:rPr>
            </w:pPr>
            <w:r w:rsidRPr="00115A9E">
              <w:t xml:space="preserve">Work is carried out in accordance with company policies and procedures, licensing requirements, legislative requirements, codes of practice and industrial awards and agreements. </w:t>
            </w:r>
          </w:p>
        </w:tc>
      </w:tr>
      <w:tr w:rsidTr="00115A9E">
        <w:tblPrEx>
          <w:tblW w:w="9462" w:type="dxa"/>
          <w:tblLayout w:type="fixed"/>
          <w:tblCellMar>
            <w:left w:w="62" w:type="dxa"/>
            <w:right w:w="62" w:type="dxa"/>
          </w:tblCellMar>
          <w:tblLook w:val="0000"/>
        </w:tblPrEx>
        <w:tc>
          <w:tcPr>
            <w:tcW w:w="3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A9E">
            <w:pPr>
              <w:pStyle w:val="BodyText"/>
              <w:rPr>
                <w:lang w:val="en-NZ"/>
              </w:rPr>
            </w:pPr>
            <w:r w:rsidRPr="00115A9E">
              <w:rPr>
                <w:rStyle w:val="SpecialBold"/>
              </w:rPr>
              <w:t>Codes of Practice</w:t>
            </w:r>
          </w:p>
        </w:tc>
        <w:tc>
          <w:tcPr>
            <w:tcW w:w="5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A9E">
            <w:pPr>
              <w:pStyle w:val="BodyText"/>
              <w:rPr>
                <w:lang w:val="en-NZ"/>
              </w:rPr>
            </w:pPr>
            <w:r w:rsidRPr="00115A9E">
              <w:t>Codes of practice include the Sugar Milling Operations Industry Code of Practice and sugar industry codes of practice related to cane railway and transport operations.</w:t>
            </w:r>
          </w:p>
        </w:tc>
      </w:tr>
      <w:tr w:rsidTr="00115A9E">
        <w:tblPrEx>
          <w:tblW w:w="9462" w:type="dxa"/>
          <w:tblLayout w:type="fixed"/>
          <w:tblCellMar>
            <w:left w:w="62" w:type="dxa"/>
            <w:right w:w="62" w:type="dxa"/>
          </w:tblCellMar>
          <w:tblLook w:val="0000"/>
        </w:tblPrEx>
        <w:tc>
          <w:tcPr>
            <w:tcW w:w="3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A9E">
            <w:pPr>
              <w:pStyle w:val="BodyText"/>
              <w:rPr>
                <w:lang w:val="en-NZ"/>
              </w:rPr>
            </w:pPr>
            <w:r w:rsidRPr="00115A9E">
              <w:rPr>
                <w:rStyle w:val="SpecialBold"/>
              </w:rPr>
              <w:t>Workplace information</w:t>
            </w:r>
          </w:p>
        </w:tc>
        <w:tc>
          <w:tcPr>
            <w:tcW w:w="5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A9E" w:rsidP="00115A9E">
            <w:pPr>
              <w:pStyle w:val="BodyText"/>
            </w:pPr>
            <w:r w:rsidRPr="00115A9E">
              <w:t>Workplace information can include:</w:t>
            </w:r>
          </w:p>
          <w:p w:rsidR="00000000" w:rsidRPr="00115A9E" w:rsidP="00115A9E">
            <w:pPr>
              <w:pStyle w:val="ListBullet"/>
            </w:pPr>
            <w:r w:rsidRPr="00115A9E">
              <w:t>Standard Operating Procedures</w:t>
            </w:r>
            <w:r w:rsidRPr="00115A9E">
              <w:t xml:space="preserve"> (SOPs) and</w:t>
            </w:r>
          </w:p>
          <w:p w:rsidR="00000000" w:rsidRPr="00115A9E" w:rsidP="00115A9E">
            <w:pPr>
              <w:pStyle w:val="ListBullet"/>
            </w:pPr>
            <w:r w:rsidRPr="00115A9E">
              <w:t>traffic schedules</w:t>
            </w:r>
          </w:p>
          <w:p w:rsidR="00000000" w:rsidP="00115A9E">
            <w:pPr>
              <w:pStyle w:val="ListBullet"/>
              <w:rPr>
                <w:lang w:val="en-NZ"/>
              </w:rPr>
            </w:pPr>
            <w:r w:rsidRPr="00115A9E">
              <w:t>manufacturer's specifications.</w:t>
            </w:r>
          </w:p>
        </w:tc>
      </w:tr>
      <w:tr w:rsidTr="00115A9E">
        <w:tblPrEx>
          <w:tblW w:w="9462" w:type="dxa"/>
          <w:tblLayout w:type="fixed"/>
          <w:tblCellMar>
            <w:left w:w="62" w:type="dxa"/>
            <w:right w:w="62" w:type="dxa"/>
          </w:tblCellMar>
          <w:tblLook w:val="0000"/>
        </w:tblPrEx>
        <w:tc>
          <w:tcPr>
            <w:tcW w:w="3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A9E">
            <w:pPr>
              <w:pStyle w:val="BodyText"/>
              <w:rPr>
                <w:lang w:val="en-NZ"/>
              </w:rPr>
            </w:pPr>
            <w:r w:rsidRPr="00115A9E">
              <w:rPr>
                <w:rStyle w:val="SpecialBold"/>
              </w:rPr>
              <w:t>Information systems</w:t>
            </w:r>
          </w:p>
        </w:tc>
        <w:tc>
          <w:tcPr>
            <w:tcW w:w="5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A9E">
            <w:pPr>
              <w:pStyle w:val="BodyText"/>
              <w:rPr>
                <w:lang w:val="en-NZ"/>
              </w:rPr>
            </w:pPr>
            <w:r w:rsidRPr="00115A9E">
              <w:t>Information systems may be print or screen based.</w:t>
            </w:r>
          </w:p>
        </w:tc>
      </w:tr>
      <w:tr w:rsidTr="00115A9E">
        <w:tblPrEx>
          <w:tblW w:w="9462" w:type="dxa"/>
          <w:tblLayout w:type="fixed"/>
          <w:tblCellMar>
            <w:left w:w="62" w:type="dxa"/>
            <w:right w:w="62" w:type="dxa"/>
          </w:tblCellMar>
          <w:tblLook w:val="0000"/>
        </w:tblPrEx>
        <w:tc>
          <w:tcPr>
            <w:tcW w:w="3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A9E">
            <w:pPr>
              <w:pStyle w:val="BodyText"/>
              <w:rPr>
                <w:lang w:val="en-NZ"/>
              </w:rPr>
            </w:pPr>
            <w:r w:rsidRPr="00115A9E">
              <w:rPr>
                <w:rStyle w:val="SpecialBold"/>
              </w:rPr>
              <w:t>Equipment</w:t>
            </w:r>
          </w:p>
        </w:tc>
        <w:tc>
          <w:tcPr>
            <w:tcW w:w="5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A9E" w:rsidP="00115A9E">
            <w:pPr>
              <w:pStyle w:val="BodyText"/>
            </w:pPr>
            <w:r w:rsidRPr="00115A9E">
              <w:t>Equipment may include:</w:t>
            </w:r>
          </w:p>
          <w:p w:rsidR="00000000" w:rsidRPr="00115A9E" w:rsidP="00115A9E">
            <w:pPr>
              <w:pStyle w:val="ListBullet"/>
            </w:pPr>
            <w:r w:rsidRPr="00115A9E">
              <w:t>2-way communication system</w:t>
            </w:r>
          </w:p>
          <w:p w:rsidR="00000000" w:rsidRPr="00115A9E" w:rsidP="00115A9E">
            <w:pPr>
              <w:pStyle w:val="ListBullet"/>
            </w:pPr>
            <w:r w:rsidRPr="00115A9E">
              <w:t>mimic or computer board</w:t>
            </w:r>
          </w:p>
          <w:p w:rsidR="00000000" w:rsidRPr="00115A9E" w:rsidP="00115A9E">
            <w:pPr>
              <w:pStyle w:val="ListBullet"/>
            </w:pPr>
            <w:r w:rsidRPr="00115A9E">
              <w:t>process control interface and</w:t>
            </w:r>
          </w:p>
          <w:p w:rsidR="00000000" w:rsidP="00115A9E">
            <w:pPr>
              <w:pStyle w:val="ListBullet"/>
              <w:rPr>
                <w:lang w:val="en-NZ"/>
              </w:rPr>
            </w:pPr>
            <w:r w:rsidRPr="00115A9E">
              <w:t>related control system.</w:t>
            </w:r>
          </w:p>
        </w:tc>
      </w:tr>
      <w:tr w:rsidTr="00115A9E">
        <w:tblPrEx>
          <w:tblW w:w="9462" w:type="dxa"/>
          <w:tblLayout w:type="fixed"/>
          <w:tblCellMar>
            <w:left w:w="62" w:type="dxa"/>
            <w:right w:w="62" w:type="dxa"/>
          </w:tblCellMar>
          <w:tblLook w:val="0000"/>
        </w:tblPrEx>
        <w:tc>
          <w:tcPr>
            <w:tcW w:w="3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A9E">
            <w:pPr>
              <w:pStyle w:val="BodyText"/>
              <w:rPr>
                <w:lang w:val="en-NZ"/>
              </w:rPr>
            </w:pPr>
            <w:r w:rsidRPr="00115A9E">
              <w:rPr>
                <w:rStyle w:val="SpecialBold"/>
              </w:rPr>
              <w:t>Signalling devices</w:t>
            </w:r>
          </w:p>
        </w:tc>
        <w:tc>
          <w:tcPr>
            <w:tcW w:w="5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A9E" w:rsidP="00115A9E">
            <w:pPr>
              <w:pStyle w:val="BodyText"/>
            </w:pPr>
            <w:r w:rsidRPr="00115A9E">
              <w:t>Signalling devices typically include:</w:t>
            </w:r>
          </w:p>
          <w:p w:rsidR="00000000" w:rsidRPr="00115A9E" w:rsidP="00115A9E">
            <w:pPr>
              <w:pStyle w:val="ListBullet"/>
            </w:pPr>
            <w:r w:rsidRPr="00115A9E">
              <w:t>colour aspect lights</w:t>
            </w:r>
          </w:p>
          <w:p w:rsidR="00000000" w:rsidP="00115A9E">
            <w:pPr>
              <w:pStyle w:val="ListBullet"/>
              <w:rPr>
                <w:lang w:val="en-NZ"/>
              </w:rPr>
            </w:pPr>
            <w:r w:rsidRPr="00115A9E">
              <w:t>mechanical signage.</w:t>
            </w:r>
          </w:p>
        </w:tc>
      </w:tr>
      <w:tr w:rsidTr="00115A9E">
        <w:tblPrEx>
          <w:tblW w:w="9462" w:type="dxa"/>
          <w:tblLayout w:type="fixed"/>
          <w:tblCellMar>
            <w:left w:w="62" w:type="dxa"/>
            <w:right w:w="62" w:type="dxa"/>
          </w:tblCellMar>
          <w:tblLook w:val="0000"/>
        </w:tblPrEx>
        <w:tc>
          <w:tcPr>
            <w:tcW w:w="3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A9E">
            <w:pPr>
              <w:pStyle w:val="BodyText"/>
              <w:rPr>
                <w:lang w:val="en-NZ"/>
              </w:rPr>
            </w:pPr>
            <w:r w:rsidRPr="00115A9E">
              <w:rPr>
                <w:rStyle w:val="SpecialBold"/>
              </w:rPr>
              <w:t>Rakes</w:t>
            </w:r>
          </w:p>
        </w:tc>
        <w:tc>
          <w:tcPr>
            <w:tcW w:w="5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A9E" w:rsidP="00115A9E">
            <w:pPr>
              <w:pStyle w:val="BodyText"/>
            </w:pPr>
            <w:r w:rsidRPr="00115A9E">
              <w:t>Movement of rakes may be:</w:t>
            </w:r>
          </w:p>
          <w:p w:rsidR="00000000" w:rsidRPr="00115A9E" w:rsidP="00115A9E">
            <w:pPr>
              <w:pStyle w:val="ListBullet"/>
            </w:pPr>
            <w:r w:rsidRPr="00115A9E">
              <w:t>automated</w:t>
            </w:r>
          </w:p>
          <w:p w:rsidR="00000000" w:rsidRPr="00115A9E" w:rsidP="00115A9E">
            <w:pPr>
              <w:pStyle w:val="ListBullet"/>
            </w:pPr>
            <w:r w:rsidRPr="00115A9E">
              <w:t xml:space="preserve">done using a dedicated loco, tractors or </w:t>
            </w:r>
          </w:p>
          <w:p w:rsidR="00000000" w:rsidP="00115A9E">
            <w:pPr>
              <w:pStyle w:val="ListBullet"/>
              <w:rPr>
                <w:lang w:val="en-NZ"/>
              </w:rPr>
            </w:pPr>
            <w:r w:rsidRPr="00115A9E">
              <w:t>using winch equipment.</w:t>
            </w:r>
          </w:p>
        </w:tc>
      </w:tr>
      <w:tr w:rsidTr="00115A9E">
        <w:tblPrEx>
          <w:tblW w:w="9462" w:type="dxa"/>
          <w:tblLayout w:type="fixed"/>
          <w:tblCellMar>
            <w:left w:w="62" w:type="dxa"/>
            <w:right w:w="62" w:type="dxa"/>
          </w:tblCellMar>
          <w:tblLook w:val="0000"/>
        </w:tblPrEx>
        <w:tc>
          <w:tcPr>
            <w:tcW w:w="3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A9E">
            <w:pPr>
              <w:pStyle w:val="BodyText"/>
              <w:rPr>
                <w:lang w:val="en-NZ"/>
              </w:rPr>
            </w:pPr>
            <w:r w:rsidRPr="00115A9E">
              <w:rPr>
                <w:rStyle w:val="SpecialBold"/>
              </w:rPr>
              <w:t>Teamwork</w:t>
            </w:r>
          </w:p>
        </w:tc>
        <w:tc>
          <w:tcPr>
            <w:tcW w:w="5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A9E">
            <w:pPr>
              <w:pStyle w:val="BodyText"/>
              <w:rPr>
                <w:lang w:val="en-NZ"/>
              </w:rPr>
            </w:pPr>
            <w:r w:rsidRPr="00115A9E">
              <w:t>Work may require the ability to work within a team environment</w:t>
            </w:r>
          </w:p>
        </w:tc>
      </w:tr>
      <w:tr w:rsidTr="00115A9E">
        <w:tblPrEx>
          <w:tblW w:w="9462" w:type="dxa"/>
          <w:tblLayout w:type="fixed"/>
          <w:tblCellMar>
            <w:left w:w="62" w:type="dxa"/>
            <w:right w:w="62" w:type="dxa"/>
          </w:tblCellMar>
          <w:tblLook w:val="0000"/>
        </w:tblPrEx>
        <w:tc>
          <w:tcPr>
            <w:tcW w:w="3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A9E">
            <w:pPr>
              <w:pStyle w:val="BodyText"/>
              <w:rPr>
                <w:lang w:val="en-NZ"/>
              </w:rPr>
            </w:pPr>
            <w:r w:rsidRPr="00115A9E">
              <w:rPr>
                <w:rStyle w:val="SpecialBold"/>
              </w:rPr>
              <w:t>Communication methods</w:t>
            </w:r>
          </w:p>
        </w:tc>
        <w:tc>
          <w:tcPr>
            <w:tcW w:w="5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A9E" w:rsidP="00115A9E">
            <w:pPr>
              <w:pStyle w:val="BodyText"/>
            </w:pPr>
            <w:r w:rsidRPr="00115A9E">
              <w:t>Communication methods include:</w:t>
            </w:r>
          </w:p>
          <w:p w:rsidR="00000000" w:rsidRPr="00115A9E" w:rsidP="00115A9E">
            <w:pPr>
              <w:pStyle w:val="ListBullet"/>
            </w:pPr>
            <w:r w:rsidRPr="00115A9E">
              <w:t xml:space="preserve">use of two-way radios used in accordance with workplace requirements and state authority protocols and </w:t>
            </w:r>
          </w:p>
          <w:p w:rsidR="00000000" w:rsidRPr="00115A9E" w:rsidP="00115A9E">
            <w:pPr>
              <w:pStyle w:val="ListBullet"/>
            </w:pPr>
            <w:r w:rsidRPr="00115A9E">
              <w:t>hand and audible signalling.</w:t>
            </w:r>
          </w:p>
        </w:tc>
      </w:tr>
    </w:tbl>
    <w:p w:rsidR="00000000" w:rsidRPr="00115A9E" w:rsidP="00115A9E">
      <w:pPr>
        <w:pStyle w:val="BodyText"/>
      </w:pPr>
    </w:p>
    <w:p w:rsidR="00000000" w:rsidRPr="00115A9E" w:rsidP="00115A9E">
      <w:pPr>
        <w:pStyle w:val="AllowPageBreak"/>
      </w:pPr>
    </w:p>
    <w:p w:rsidR="00000000" w:rsidRPr="00115A9E" w:rsidP="00115A9E">
      <w:pPr>
        <w:pStyle w:val="Heading1"/>
      </w:pPr>
      <w:bookmarkStart w:id="12" w:name="O_391086"/>
      <w:bookmarkEnd w:id="12"/>
      <w:r w:rsidRPr="00115A9E">
        <w:t>Unit Sector(s)</w:t>
      </w:r>
    </w:p>
    <w:p w:rsidR="00000000" w:rsidRPr="00115A9E" w:rsidP="00115A9E">
      <w:pPr>
        <w:pStyle w:val="BodyText"/>
      </w:pPr>
      <w:r w:rsidRPr="00115A9E">
        <w:t>Sugar Milling.</w:t>
      </w:r>
    </w:p>
    <w:p w:rsidR="00000000" w:rsidRPr="00115A9E" w:rsidP="00115A9E"/>
    <w:sectPr w:rsidSect="00115A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A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2646" w:rsidP="002F26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A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646" w:rsidP="00115A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F2646" w:rsidP="00115A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F2646" w:rsidP="00115A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A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2646" w:rsidP="002F264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A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646" w:rsidP="00115A9E">
    <w:pPr>
      <w:pStyle w:val="Header"/>
      <w:framePr w:wrap="around"/>
    </w:pPr>
    <w:r>
      <w:fldChar w:fldCharType="begin"/>
    </w:r>
    <w:r>
      <w:instrText xml:space="preserve"> TITLE   \* MERGEFORMAT </w:instrText>
    </w:r>
    <w:r>
      <w:fldChar w:fldCharType="separate"/>
    </w:r>
    <w:r>
      <w:t>FDFSUG103A Move cane bins in a marshalling yard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F2646" w:rsidP="00115A9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0C48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DE0E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A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5A9E"/>
    <w:pPr>
      <w:spacing w:before="360" w:after="60"/>
      <w:outlineLvl w:val="0"/>
    </w:pPr>
    <w:rPr>
      <w:sz w:val="32"/>
    </w:rPr>
  </w:style>
  <w:style w:type="paragraph" w:styleId="Heading2">
    <w:name w:val="heading 2"/>
    <w:basedOn w:val="HeadingBase"/>
    <w:next w:val="BodyText"/>
    <w:link w:val="Heading2Char"/>
    <w:qFormat/>
    <w:rsid w:val="00115A9E"/>
    <w:pPr>
      <w:keepLines/>
      <w:spacing w:before="240" w:after="120"/>
      <w:outlineLvl w:val="1"/>
    </w:pPr>
    <w:rPr>
      <w:sz w:val="28"/>
      <w:szCs w:val="40"/>
    </w:rPr>
  </w:style>
  <w:style w:type="paragraph" w:styleId="Heading3">
    <w:name w:val="heading 3"/>
    <w:basedOn w:val="HeadingBase"/>
    <w:next w:val="BodyText"/>
    <w:link w:val="Heading3Char"/>
    <w:qFormat/>
    <w:rsid w:val="00115A9E"/>
    <w:pPr>
      <w:spacing w:before="180" w:after="120"/>
      <w:outlineLvl w:val="2"/>
    </w:pPr>
    <w:rPr>
      <w:spacing w:val="-10"/>
      <w:kern w:val="32"/>
    </w:rPr>
  </w:style>
  <w:style w:type="paragraph" w:styleId="Heading4">
    <w:name w:val="heading 4"/>
    <w:basedOn w:val="HeadingBase"/>
    <w:next w:val="BodyText"/>
    <w:link w:val="Heading4Char"/>
    <w:qFormat/>
    <w:rsid w:val="00115A9E"/>
    <w:pPr>
      <w:spacing w:before="160" w:after="120"/>
      <w:outlineLvl w:val="3"/>
    </w:pPr>
    <w:rPr>
      <w:sz w:val="22"/>
    </w:rPr>
  </w:style>
  <w:style w:type="paragraph" w:styleId="Heading5">
    <w:name w:val="heading 5"/>
    <w:basedOn w:val="HeadingBase"/>
    <w:next w:val="Normal"/>
    <w:link w:val="Heading5Char"/>
    <w:qFormat/>
    <w:rsid w:val="00115A9E"/>
    <w:pPr>
      <w:spacing w:before="80"/>
      <w:outlineLvl w:val="4"/>
    </w:pPr>
    <w:rPr>
      <w:color w:val="918585"/>
      <w:sz w:val="20"/>
    </w:rPr>
  </w:style>
  <w:style w:type="paragraph" w:styleId="Heading6">
    <w:name w:val="heading 6"/>
    <w:basedOn w:val="HeadingBase"/>
    <w:next w:val="Normal"/>
    <w:link w:val="Heading6Char"/>
    <w:qFormat/>
    <w:rsid w:val="00115A9E"/>
    <w:pPr>
      <w:spacing w:before="60"/>
      <w:outlineLvl w:val="5"/>
    </w:pPr>
    <w:rPr>
      <w:color w:val="918585"/>
      <w:sz w:val="20"/>
    </w:rPr>
  </w:style>
  <w:style w:type="paragraph" w:styleId="Heading7">
    <w:name w:val="heading 7"/>
    <w:basedOn w:val="Normal"/>
    <w:next w:val="Normal"/>
    <w:link w:val="Heading7Char"/>
    <w:qFormat/>
    <w:rsid w:val="00115A9E"/>
    <w:pPr>
      <w:ind w:left="720"/>
      <w:outlineLvl w:val="6"/>
    </w:pPr>
    <w:rPr>
      <w:i/>
    </w:rPr>
  </w:style>
  <w:style w:type="paragraph" w:styleId="Heading8">
    <w:name w:val="heading 8"/>
    <w:basedOn w:val="Normal"/>
    <w:next w:val="Normal"/>
    <w:link w:val="Heading8Char"/>
    <w:qFormat/>
    <w:rsid w:val="00115A9E"/>
    <w:pPr>
      <w:ind w:left="720"/>
      <w:outlineLvl w:val="7"/>
    </w:pPr>
    <w:rPr>
      <w:i/>
    </w:rPr>
  </w:style>
  <w:style w:type="paragraph" w:styleId="Heading9">
    <w:name w:val="heading 9"/>
    <w:basedOn w:val="Normal"/>
    <w:next w:val="Normal"/>
    <w:link w:val="Heading9Char"/>
    <w:qFormat/>
    <w:rsid w:val="00115A9E"/>
    <w:pPr>
      <w:ind w:left="720"/>
      <w:outlineLvl w:val="8"/>
    </w:pPr>
    <w:rPr>
      <w:i/>
    </w:rPr>
  </w:style>
  <w:style w:type="character" w:default="1" w:styleId="DefaultParagraphFont">
    <w:name w:val="Default Paragraph Font"/>
    <w:uiPriority w:val="1"/>
    <w:unhideWhenUsed/>
    <w:rsid w:val="00115A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5A9E"/>
  </w:style>
  <w:style w:type="character" w:customStyle="1" w:styleId="Heading1Char">
    <w:name w:val="Heading 1 Char"/>
    <w:link w:val="Heading1"/>
    <w:rsid w:val="00115A9E"/>
    <w:rPr>
      <w:rFonts w:ascii="Times New Roman" w:eastAsia="Times New Roman" w:hAnsi="Times New Roman" w:cs="Times New Roman"/>
      <w:b/>
      <w:sz w:val="32"/>
      <w:szCs w:val="20"/>
      <w:lang w:eastAsia="en-US"/>
    </w:rPr>
  </w:style>
  <w:style w:type="paragraph" w:styleId="BodyText">
    <w:name w:val="Body Text"/>
    <w:basedOn w:val="Normal"/>
    <w:link w:val="BodyTextChar"/>
    <w:rsid w:val="00115A9E"/>
    <w:pPr>
      <w:spacing w:before="120" w:after="120"/>
      <w:contextualSpacing/>
    </w:pPr>
    <w:rPr>
      <w:rFonts w:ascii="Times New Roman" w:hAnsi="Times New Roman"/>
      <w:sz w:val="24"/>
      <w:szCs w:val="22"/>
    </w:rPr>
  </w:style>
  <w:style w:type="character" w:customStyle="1" w:styleId="BodyTextChar">
    <w:name w:val="Body Text Char"/>
    <w:link w:val="BodyText"/>
    <w:rsid w:val="00115A9E"/>
    <w:rPr>
      <w:rFonts w:ascii="Times New Roman" w:eastAsia="Times New Roman" w:hAnsi="Times New Roman" w:cs="Times New Roman"/>
      <w:sz w:val="24"/>
      <w:lang w:val="en-US" w:eastAsia="en-US"/>
    </w:rPr>
  </w:style>
  <w:style w:type="paragraph" w:styleId="Footer">
    <w:name w:val="footer"/>
    <w:basedOn w:val="Normal"/>
    <w:link w:val="FooterChar"/>
    <w:rsid w:val="00115A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15A9E"/>
    <w:rPr>
      <w:rFonts w:ascii="Times New Roman" w:eastAsia="Times New Roman" w:hAnsi="Times New Roman" w:cs="Times New Roman"/>
      <w:sz w:val="16"/>
      <w:lang w:val="en-US" w:eastAsia="en-US"/>
    </w:rPr>
  </w:style>
  <w:style w:type="paragraph" w:styleId="List">
    <w:name w:val="List"/>
    <w:basedOn w:val="BodyText"/>
    <w:next w:val="BodyText"/>
    <w:rsid w:val="00115A9E"/>
    <w:pPr>
      <w:tabs>
        <w:tab w:val="left" w:pos="340"/>
      </w:tabs>
      <w:spacing w:before="60" w:after="60"/>
      <w:ind w:left="340" w:hanging="340"/>
    </w:pPr>
  </w:style>
  <w:style w:type="paragraph" w:styleId="ListBullet">
    <w:name w:val="List Bullet"/>
    <w:basedOn w:val="List"/>
    <w:rsid w:val="00115A9E"/>
    <w:pPr>
      <w:numPr>
        <w:numId w:val="12"/>
      </w:numPr>
      <w:tabs>
        <w:tab w:val="clear" w:pos="340"/>
      </w:tabs>
      <w:spacing w:before="40" w:after="40"/>
    </w:pPr>
  </w:style>
  <w:style w:type="character" w:customStyle="1" w:styleId="SpecialBold">
    <w:name w:val="Special Bold"/>
    <w:rsid w:val="00115A9E"/>
    <w:rPr>
      <w:b/>
      <w:spacing w:val="0"/>
    </w:rPr>
  </w:style>
  <w:style w:type="paragraph" w:styleId="Header">
    <w:name w:val="header"/>
    <w:basedOn w:val="Normal"/>
    <w:link w:val="HeaderChar"/>
    <w:rsid w:val="00115A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15A9E"/>
    <w:rPr>
      <w:rFonts w:ascii="Times New Roman" w:eastAsia="Times New Roman" w:hAnsi="Times New Roman" w:cs="Times New Roman"/>
      <w:sz w:val="16"/>
      <w:szCs w:val="20"/>
      <w:lang w:val="en-GB" w:eastAsia="en-US"/>
    </w:rPr>
  </w:style>
  <w:style w:type="character" w:styleId="Emphasis">
    <w:name w:val="Emphasis"/>
    <w:qFormat/>
    <w:rsid w:val="00115A9E"/>
    <w:rPr>
      <w:i/>
    </w:rPr>
  </w:style>
  <w:style w:type="paragraph" w:customStyle="1" w:styleId="SuperHeading">
    <w:name w:val="SuperHeading"/>
    <w:basedOn w:val="Normal"/>
    <w:rsid w:val="00115A9E"/>
    <w:pPr>
      <w:spacing w:before="240" w:after="120"/>
      <w:outlineLvl w:val="0"/>
    </w:pPr>
    <w:rPr>
      <w:rFonts w:ascii="Times New Roman" w:hAnsi="Times New Roman"/>
      <w:b/>
      <w:sz w:val="28"/>
    </w:rPr>
  </w:style>
  <w:style w:type="paragraph" w:customStyle="1" w:styleId="TableHeading">
    <w:name w:val="Table Heading"/>
    <w:basedOn w:val="HeadingBase"/>
    <w:rsid w:val="00115A9E"/>
    <w:pPr>
      <w:keepLines/>
      <w:pBdr>
        <w:bottom w:val="single" w:sz="6" w:space="1" w:color="918585"/>
      </w:pBdr>
      <w:spacing w:before="240"/>
    </w:pPr>
  </w:style>
  <w:style w:type="paragraph" w:customStyle="1" w:styleId="AllowPageBreak">
    <w:name w:val="AllowPageBreak"/>
    <w:rsid w:val="00115A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115A9E"/>
    <w:rPr>
      <w:rFonts w:ascii="Times New Roman" w:eastAsia="Times New Roman" w:hAnsi="Times New Roman" w:cs="Times New Roman"/>
      <w:b/>
      <w:sz w:val="28"/>
      <w:szCs w:val="40"/>
      <w:lang w:eastAsia="en-US"/>
    </w:rPr>
  </w:style>
  <w:style w:type="character" w:customStyle="1" w:styleId="Heading3Char">
    <w:name w:val="Heading 3 Char"/>
    <w:link w:val="Heading3"/>
    <w:rsid w:val="00115A9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15A9E"/>
    <w:rPr>
      <w:rFonts w:ascii="Times New Roman" w:eastAsia="Times New Roman" w:hAnsi="Times New Roman" w:cs="Times New Roman"/>
      <w:b/>
      <w:szCs w:val="20"/>
      <w:lang w:eastAsia="en-US"/>
    </w:rPr>
  </w:style>
  <w:style w:type="character" w:customStyle="1" w:styleId="Heading5Char">
    <w:name w:val="Heading 5 Char"/>
    <w:link w:val="Heading5"/>
    <w:rsid w:val="00115A9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15A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5A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5A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5A9E"/>
    <w:rPr>
      <w:rFonts w:ascii="Courier New" w:eastAsia="Times New Roman" w:hAnsi="Courier New" w:cs="Times New Roman"/>
      <w:i/>
      <w:szCs w:val="20"/>
      <w:lang w:val="en-US" w:eastAsia="en-US"/>
    </w:rPr>
  </w:style>
  <w:style w:type="paragraph" w:customStyle="1" w:styleId="HeadingBase">
    <w:name w:val="Heading Base"/>
    <w:rsid w:val="00115A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5A9E"/>
    <w:pPr>
      <w:tabs>
        <w:tab w:val="right" w:leader="dot" w:pos="9072"/>
      </w:tabs>
      <w:ind w:left="567"/>
    </w:pPr>
    <w:rPr>
      <w:szCs w:val="22"/>
    </w:rPr>
  </w:style>
  <w:style w:type="paragraph" w:customStyle="1" w:styleId="TOCBase">
    <w:name w:val="TOC Base"/>
    <w:rsid w:val="00115A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5A9E"/>
    <w:pPr>
      <w:tabs>
        <w:tab w:val="right" w:leader="dot" w:pos="9072"/>
      </w:tabs>
      <w:spacing w:before="40" w:after="40"/>
      <w:ind w:left="284"/>
    </w:pPr>
    <w:rPr>
      <w:rFonts w:ascii="Times New Roman" w:hAnsi="Times New Roman"/>
    </w:rPr>
  </w:style>
  <w:style w:type="paragraph" w:styleId="TOC1">
    <w:name w:val="toc 1"/>
    <w:basedOn w:val="TOCBase"/>
    <w:next w:val="Normal"/>
    <w:rsid w:val="00115A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5A9E"/>
    <w:pPr>
      <w:spacing w:before="5040"/>
      <w:jc w:val="center"/>
    </w:pPr>
    <w:rPr>
      <w:sz w:val="48"/>
      <w:szCs w:val="72"/>
      <w:lang w:val="en-US"/>
    </w:rPr>
  </w:style>
  <w:style w:type="character" w:customStyle="1" w:styleId="TitleChar">
    <w:name w:val="Title Char"/>
    <w:link w:val="Title"/>
    <w:rsid w:val="00115A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5A9E"/>
    <w:pPr>
      <w:tabs>
        <w:tab w:val="left" w:pos="3600"/>
        <w:tab w:val="left" w:pos="3958"/>
      </w:tabs>
    </w:pPr>
  </w:style>
  <w:style w:type="paragraph" w:customStyle="1" w:styleId="Note">
    <w:name w:val="Note"/>
    <w:basedOn w:val="BodyText"/>
    <w:rsid w:val="00115A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5A9E"/>
    <w:pPr>
      <w:framePr w:wrap="auto" w:hAnchor="text" w:y="6049"/>
    </w:pPr>
    <w:rPr>
      <w:color w:val="000000"/>
      <w:sz w:val="40"/>
    </w:rPr>
  </w:style>
  <w:style w:type="paragraph" w:customStyle="1" w:styleId="TOCTitle">
    <w:name w:val="TOCTitle"/>
    <w:basedOn w:val="Heading1"/>
    <w:rsid w:val="00115A9E"/>
    <w:pPr>
      <w:spacing w:after="240"/>
      <w:jc w:val="center"/>
      <w:outlineLvl w:val="9"/>
    </w:pPr>
    <w:rPr>
      <w:caps/>
    </w:rPr>
  </w:style>
  <w:style w:type="paragraph" w:customStyle="1" w:styleId="Version">
    <w:name w:val="Version"/>
    <w:rsid w:val="00115A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5A9E"/>
    <w:pPr>
      <w:numPr>
        <w:numId w:val="13"/>
      </w:numPr>
      <w:tabs>
        <w:tab w:val="clear" w:pos="680"/>
      </w:tabs>
    </w:pPr>
  </w:style>
  <w:style w:type="paragraph" w:styleId="Index1">
    <w:name w:val="index 1"/>
    <w:basedOn w:val="Normal"/>
    <w:next w:val="Normal"/>
    <w:semiHidden/>
    <w:rsid w:val="00115A9E"/>
    <w:pPr>
      <w:keepNext w:val="0"/>
      <w:tabs>
        <w:tab w:val="right" w:pos="4176"/>
      </w:tabs>
      <w:ind w:left="198" w:hanging="198"/>
    </w:pPr>
    <w:rPr>
      <w:rFonts w:ascii="Garamond" w:hAnsi="Garamond"/>
    </w:rPr>
  </w:style>
  <w:style w:type="paragraph" w:styleId="IndexHeading">
    <w:name w:val="index heading"/>
    <w:basedOn w:val="Normal"/>
    <w:next w:val="Index1"/>
    <w:semiHidden/>
    <w:rsid w:val="00115A9E"/>
    <w:pPr>
      <w:spacing w:before="120" w:after="120"/>
    </w:pPr>
    <w:rPr>
      <w:rFonts w:ascii="Arial" w:hAnsi="Arial"/>
      <w:b/>
      <w:color w:val="918585"/>
      <w:sz w:val="24"/>
    </w:rPr>
  </w:style>
  <w:style w:type="paragraph" w:customStyle="1" w:styleId="Chapter">
    <w:name w:val="Chapter"/>
    <w:basedOn w:val="Normal"/>
    <w:rsid w:val="00115A9E"/>
    <w:pPr>
      <w:spacing w:before="240"/>
    </w:pPr>
    <w:rPr>
      <w:rFonts w:ascii="Times New Roman" w:hAnsi="Times New Roman"/>
      <w:smallCaps/>
      <w:spacing w:val="80"/>
      <w:sz w:val="28"/>
    </w:rPr>
  </w:style>
  <w:style w:type="paragraph" w:customStyle="1" w:styleId="InChapter">
    <w:name w:val="InChapter"/>
    <w:basedOn w:val="Heading3"/>
    <w:rsid w:val="00115A9E"/>
    <w:pPr>
      <w:spacing w:after="240"/>
      <w:outlineLvl w:val="9"/>
    </w:pPr>
    <w:rPr>
      <w:noProof/>
    </w:rPr>
  </w:style>
  <w:style w:type="paragraph" w:styleId="Index2">
    <w:name w:val="index 2"/>
    <w:basedOn w:val="Normal"/>
    <w:next w:val="Normal"/>
    <w:semiHidden/>
    <w:rsid w:val="00115A9E"/>
    <w:pPr>
      <w:tabs>
        <w:tab w:val="right" w:pos="4176"/>
      </w:tabs>
      <w:ind w:left="568" w:hanging="284"/>
    </w:pPr>
    <w:rPr>
      <w:rFonts w:ascii="Garamond" w:hAnsi="Garamond"/>
    </w:rPr>
  </w:style>
  <w:style w:type="paragraph" w:customStyle="1" w:styleId="Byline">
    <w:name w:val="Byline"/>
    <w:rsid w:val="00115A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5A9E"/>
    <w:pPr>
      <w:tabs>
        <w:tab w:val="clear" w:pos="3600"/>
        <w:tab w:val="clear" w:pos="3958"/>
      </w:tabs>
      <w:jc w:val="right"/>
    </w:pPr>
  </w:style>
  <w:style w:type="paragraph" w:styleId="Caption">
    <w:name w:val="caption"/>
    <w:basedOn w:val="BodyText"/>
    <w:next w:val="Normal"/>
    <w:qFormat/>
    <w:rsid w:val="00115A9E"/>
    <w:pPr>
      <w:framePr w:w="2268" w:hSpace="181" w:vSpace="181" w:wrap="around" w:vAnchor="text" w:hAnchor="page" w:x="1135" w:y="285" w:anchorLock="1"/>
    </w:pPr>
    <w:rPr>
      <w:i/>
    </w:rPr>
  </w:style>
  <w:style w:type="paragraph" w:customStyle="1" w:styleId="MiniTOCTitle">
    <w:name w:val="MiniTOCTitle"/>
    <w:basedOn w:val="Heading4"/>
    <w:rsid w:val="00115A9E"/>
    <w:pPr>
      <w:spacing w:before="240"/>
      <w:outlineLvl w:val="9"/>
    </w:pPr>
    <w:rPr>
      <w:noProof/>
      <w:sz w:val="24"/>
    </w:rPr>
  </w:style>
  <w:style w:type="paragraph" w:customStyle="1" w:styleId="MiniTOCItem">
    <w:name w:val="MiniTOCItem"/>
    <w:basedOn w:val="ListBullet"/>
    <w:rsid w:val="00115A9E"/>
    <w:pPr>
      <w:numPr>
        <w:numId w:val="0"/>
      </w:numPr>
      <w:tabs>
        <w:tab w:val="right" w:leader="dot" w:pos="6521"/>
      </w:tabs>
      <w:spacing w:before="0" w:after="0"/>
    </w:pPr>
  </w:style>
  <w:style w:type="paragraph" w:customStyle="1" w:styleId="TOFTitle">
    <w:name w:val="TOFTitle"/>
    <w:basedOn w:val="TOCTitle"/>
    <w:rsid w:val="00115A9E"/>
  </w:style>
  <w:style w:type="paragraph" w:styleId="TableofFigures">
    <w:name w:val="table of figures"/>
    <w:basedOn w:val="Normal"/>
    <w:next w:val="Normal"/>
    <w:semiHidden/>
    <w:rsid w:val="00115A9E"/>
    <w:pPr>
      <w:tabs>
        <w:tab w:val="right" w:leader="dot" w:pos="9072"/>
      </w:tabs>
      <w:ind w:left="970" w:hanging="403"/>
    </w:pPr>
    <w:rPr>
      <w:rFonts w:ascii="Times New Roman" w:hAnsi="Times New Roman"/>
      <w:b/>
    </w:rPr>
  </w:style>
  <w:style w:type="paragraph" w:styleId="ListNumber">
    <w:name w:val="List Number"/>
    <w:basedOn w:val="List"/>
    <w:rsid w:val="00115A9E"/>
    <w:pPr>
      <w:numPr>
        <w:numId w:val="10"/>
      </w:numPr>
    </w:pPr>
  </w:style>
  <w:style w:type="character" w:customStyle="1" w:styleId="WingdingSymbols">
    <w:name w:val="Wingding Symbols"/>
    <w:rsid w:val="00115A9E"/>
    <w:rPr>
      <w:rFonts w:ascii="Wingdings" w:hAnsi="Wingdings"/>
    </w:rPr>
  </w:style>
  <w:style w:type="character" w:customStyle="1" w:styleId="HotSpot">
    <w:name w:val="HotSpot"/>
    <w:rsid w:val="00115A9E"/>
    <w:rPr>
      <w:color w:val="0033CC"/>
      <w:u w:val="none"/>
    </w:rPr>
  </w:style>
  <w:style w:type="paragraph" w:customStyle="1" w:styleId="BodyTextRight">
    <w:name w:val="Body Text Right"/>
    <w:basedOn w:val="BodyText"/>
    <w:rsid w:val="00115A9E"/>
    <w:pPr>
      <w:spacing w:before="0" w:after="0"/>
      <w:jc w:val="right"/>
    </w:pPr>
  </w:style>
  <w:style w:type="paragraph" w:styleId="Index3">
    <w:name w:val="index 3"/>
    <w:basedOn w:val="ListNumber2"/>
    <w:next w:val="Normal"/>
    <w:semiHidden/>
    <w:rsid w:val="00115A9E"/>
    <w:pPr>
      <w:numPr>
        <w:numId w:val="0"/>
      </w:numPr>
      <w:tabs>
        <w:tab w:val="right" w:leader="dot" w:pos="4176"/>
      </w:tabs>
    </w:pPr>
  </w:style>
  <w:style w:type="paragraph" w:styleId="ListNumber2">
    <w:name w:val="List Number 2"/>
    <w:basedOn w:val="List2"/>
    <w:rsid w:val="00115A9E"/>
    <w:pPr>
      <w:numPr>
        <w:numId w:val="9"/>
      </w:numPr>
      <w:tabs>
        <w:tab w:val="clear" w:pos="1060"/>
      </w:tabs>
    </w:pPr>
  </w:style>
  <w:style w:type="paragraph" w:customStyle="1" w:styleId="MarginNote">
    <w:name w:val="Margin Note"/>
    <w:basedOn w:val="BodyText"/>
    <w:rsid w:val="00115A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5A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15A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5A9E"/>
    <w:rPr>
      <w:sz w:val="32"/>
    </w:rPr>
  </w:style>
  <w:style w:type="paragraph" w:customStyle="1" w:styleId="HeadingProcedure">
    <w:name w:val="Heading Procedure"/>
    <w:basedOn w:val="HeadingBase"/>
    <w:next w:val="Normal"/>
    <w:rsid w:val="00115A9E"/>
    <w:pPr>
      <w:tabs>
        <w:tab w:val="left" w:pos="0"/>
      </w:tabs>
      <w:spacing w:before="120" w:after="60"/>
    </w:pPr>
    <w:rPr>
      <w:i/>
      <w:color w:val="918585"/>
      <w:sz w:val="22"/>
    </w:rPr>
  </w:style>
  <w:style w:type="paragraph" w:customStyle="1" w:styleId="TableBodyText">
    <w:name w:val="Table Body Text"/>
    <w:basedOn w:val="BodyText"/>
    <w:rsid w:val="00115A9E"/>
    <w:pPr>
      <w:spacing w:before="60" w:after="60"/>
    </w:pPr>
  </w:style>
  <w:style w:type="paragraph" w:styleId="ListContinue">
    <w:name w:val="List Continue"/>
    <w:basedOn w:val="List"/>
    <w:rsid w:val="00115A9E"/>
    <w:pPr>
      <w:ind w:firstLine="0"/>
    </w:pPr>
  </w:style>
  <w:style w:type="paragraph" w:customStyle="1" w:styleId="ListNote">
    <w:name w:val="List Note"/>
    <w:basedOn w:val="List"/>
    <w:rsid w:val="00115A9E"/>
    <w:pPr>
      <w:pBdr>
        <w:top w:val="single" w:sz="6" w:space="2" w:color="918585"/>
        <w:bottom w:val="single" w:sz="6" w:space="2" w:color="918585"/>
      </w:pBdr>
      <w:tabs>
        <w:tab w:val="left" w:pos="1021"/>
      </w:tabs>
      <w:ind w:firstLine="0"/>
    </w:pPr>
  </w:style>
  <w:style w:type="paragraph" w:customStyle="1" w:styleId="Warning">
    <w:name w:val="Warning"/>
    <w:basedOn w:val="BodyText"/>
    <w:rsid w:val="00115A9E"/>
    <w:pPr>
      <w:shd w:val="clear" w:color="auto" w:fill="D9D9D9"/>
      <w:tabs>
        <w:tab w:val="left" w:pos="992"/>
      </w:tabs>
      <w:ind w:left="119" w:right="119"/>
    </w:pPr>
    <w:rPr>
      <w:sz w:val="20"/>
    </w:rPr>
  </w:style>
  <w:style w:type="paragraph" w:customStyle="1" w:styleId="MarginIcons">
    <w:name w:val="Margin Icons"/>
    <w:basedOn w:val="BodyText"/>
    <w:rsid w:val="00115A9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15A9E"/>
    <w:rPr>
      <w:rFonts w:ascii="Courier New" w:hAnsi="Courier New"/>
    </w:rPr>
  </w:style>
  <w:style w:type="paragraph" w:customStyle="1" w:styleId="NoteBullet">
    <w:name w:val="Note Bullet"/>
    <w:basedOn w:val="Note"/>
    <w:rsid w:val="00115A9E"/>
    <w:pPr>
      <w:tabs>
        <w:tab w:val="clear" w:pos="680"/>
      </w:tabs>
      <w:spacing w:before="60" w:after="60"/>
    </w:pPr>
  </w:style>
  <w:style w:type="paragraph" w:customStyle="1" w:styleId="SubHeading2">
    <w:name w:val="SubHeading2"/>
    <w:basedOn w:val="HeadingBase"/>
    <w:rsid w:val="00115A9E"/>
    <w:pPr>
      <w:spacing w:before="240" w:after="60"/>
    </w:pPr>
    <w:rPr>
      <w:sz w:val="20"/>
    </w:rPr>
  </w:style>
  <w:style w:type="paragraph" w:customStyle="1" w:styleId="SubHeading1">
    <w:name w:val="SubHeading1"/>
    <w:basedOn w:val="HeadingBase"/>
    <w:rsid w:val="00115A9E"/>
    <w:pPr>
      <w:spacing w:before="240" w:after="60"/>
    </w:pPr>
    <w:rPr>
      <w:color w:val="918585"/>
      <w:sz w:val="22"/>
    </w:rPr>
  </w:style>
  <w:style w:type="paragraph" w:customStyle="1" w:styleId="SideHeading">
    <w:name w:val="Side Heading"/>
    <w:basedOn w:val="HeadingBase"/>
    <w:rsid w:val="00115A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5A9E"/>
    <w:pPr>
      <w:tabs>
        <w:tab w:val="num" w:pos="360"/>
      </w:tabs>
    </w:pPr>
  </w:style>
  <w:style w:type="paragraph" w:styleId="PlainText">
    <w:name w:val="Plain Text"/>
    <w:basedOn w:val="Normal"/>
    <w:link w:val="PlainTextChar"/>
    <w:rsid w:val="00115A9E"/>
    <w:rPr>
      <w:sz w:val="20"/>
    </w:rPr>
  </w:style>
  <w:style w:type="character" w:customStyle="1" w:styleId="PlainTextChar">
    <w:name w:val="Plain Text Char"/>
    <w:basedOn w:val="DefaultParagraphFont"/>
    <w:link w:val="PlainText"/>
    <w:rsid w:val="00115A9E"/>
    <w:rPr>
      <w:rFonts w:ascii="Courier New" w:eastAsia="Times New Roman" w:hAnsi="Courier New" w:cs="Times New Roman"/>
      <w:sz w:val="20"/>
      <w:szCs w:val="20"/>
      <w:lang w:val="en-US" w:eastAsia="en-US"/>
    </w:rPr>
  </w:style>
  <w:style w:type="character" w:customStyle="1" w:styleId="MenuOption">
    <w:name w:val="Menu Option"/>
    <w:rsid w:val="00115A9E"/>
    <w:rPr>
      <w:b/>
      <w:smallCaps/>
    </w:rPr>
  </w:style>
  <w:style w:type="paragraph" w:customStyle="1" w:styleId="TableListNumber">
    <w:name w:val="Table List Number"/>
    <w:basedOn w:val="ListNumber"/>
    <w:rsid w:val="00115A9E"/>
    <w:pPr>
      <w:numPr>
        <w:numId w:val="0"/>
      </w:numPr>
    </w:pPr>
  </w:style>
  <w:style w:type="paragraph" w:styleId="TOC4">
    <w:name w:val="toc 4"/>
    <w:basedOn w:val="TOCBase"/>
    <w:next w:val="Normal"/>
    <w:semiHidden/>
    <w:rsid w:val="00115A9E"/>
    <w:pPr>
      <w:tabs>
        <w:tab w:val="right" w:leader="dot" w:pos="9071"/>
      </w:tabs>
      <w:ind w:left="1701"/>
    </w:pPr>
  </w:style>
  <w:style w:type="paragraph" w:customStyle="1" w:styleId="ListAlpha">
    <w:name w:val="List Alpha"/>
    <w:basedOn w:val="List"/>
    <w:rsid w:val="00115A9E"/>
    <w:pPr>
      <w:numPr>
        <w:numId w:val="8"/>
      </w:numPr>
    </w:pPr>
  </w:style>
  <w:style w:type="paragraph" w:customStyle="1" w:styleId="ListAlpha2">
    <w:name w:val="List Alpha 2"/>
    <w:basedOn w:val="List2"/>
    <w:rsid w:val="00115A9E"/>
    <w:pPr>
      <w:numPr>
        <w:numId w:val="7"/>
      </w:numPr>
    </w:pPr>
  </w:style>
  <w:style w:type="paragraph" w:styleId="List2">
    <w:name w:val="List 2"/>
    <w:basedOn w:val="BodyText"/>
    <w:rsid w:val="00115A9E"/>
    <w:pPr>
      <w:tabs>
        <w:tab w:val="left" w:pos="680"/>
      </w:tabs>
      <w:spacing w:before="60" w:after="60"/>
      <w:ind w:left="680" w:hanging="340"/>
    </w:pPr>
  </w:style>
  <w:style w:type="paragraph" w:styleId="List3">
    <w:name w:val="List 3"/>
    <w:basedOn w:val="BodyText"/>
    <w:rsid w:val="00115A9E"/>
    <w:pPr>
      <w:tabs>
        <w:tab w:val="left" w:pos="1021"/>
      </w:tabs>
      <w:spacing w:before="60" w:after="60"/>
      <w:ind w:left="1020" w:hanging="340"/>
    </w:pPr>
  </w:style>
  <w:style w:type="paragraph" w:styleId="List4">
    <w:name w:val="List 4"/>
    <w:basedOn w:val="BodyText"/>
    <w:rsid w:val="00115A9E"/>
    <w:pPr>
      <w:tabs>
        <w:tab w:val="left" w:pos="1361"/>
      </w:tabs>
      <w:spacing w:before="60" w:after="60"/>
      <w:ind w:left="1361" w:hanging="340"/>
    </w:pPr>
  </w:style>
  <w:style w:type="paragraph" w:styleId="List5">
    <w:name w:val="List 5"/>
    <w:basedOn w:val="BodyText"/>
    <w:rsid w:val="00115A9E"/>
    <w:pPr>
      <w:tabs>
        <w:tab w:val="left" w:pos="1701"/>
      </w:tabs>
      <w:spacing w:before="60" w:after="60"/>
      <w:ind w:left="1701" w:hanging="340"/>
    </w:pPr>
  </w:style>
  <w:style w:type="paragraph" w:styleId="ListBullet3">
    <w:name w:val="List Bullet 3"/>
    <w:basedOn w:val="List3"/>
    <w:rsid w:val="00115A9E"/>
    <w:pPr>
      <w:numPr>
        <w:numId w:val="14"/>
      </w:numPr>
      <w:tabs>
        <w:tab w:val="clear" w:pos="1021"/>
      </w:tabs>
      <w:ind w:left="1037" w:hanging="357"/>
    </w:pPr>
  </w:style>
  <w:style w:type="paragraph" w:styleId="ListBullet4">
    <w:name w:val="List Bullet 4"/>
    <w:basedOn w:val="List4"/>
    <w:rsid w:val="00115A9E"/>
    <w:pPr>
      <w:numPr>
        <w:numId w:val="2"/>
      </w:numPr>
    </w:pPr>
  </w:style>
  <w:style w:type="paragraph" w:styleId="ListBullet5">
    <w:name w:val="List Bullet 5"/>
    <w:basedOn w:val="List5"/>
    <w:rsid w:val="00115A9E"/>
    <w:pPr>
      <w:numPr>
        <w:numId w:val="3"/>
      </w:numPr>
    </w:pPr>
  </w:style>
  <w:style w:type="paragraph" w:styleId="ListContinue2">
    <w:name w:val="List Continue 2"/>
    <w:basedOn w:val="List2"/>
    <w:rsid w:val="00115A9E"/>
    <w:pPr>
      <w:ind w:firstLine="0"/>
    </w:pPr>
  </w:style>
  <w:style w:type="paragraph" w:styleId="ListContinue3">
    <w:name w:val="List Continue 3"/>
    <w:basedOn w:val="List3"/>
    <w:rsid w:val="00115A9E"/>
    <w:pPr>
      <w:ind w:left="1021" w:firstLine="0"/>
    </w:pPr>
  </w:style>
  <w:style w:type="paragraph" w:styleId="ListContinue4">
    <w:name w:val="List Continue 4"/>
    <w:basedOn w:val="List4"/>
    <w:rsid w:val="00115A9E"/>
    <w:pPr>
      <w:ind w:firstLine="0"/>
    </w:pPr>
  </w:style>
  <w:style w:type="paragraph" w:styleId="ListContinue5">
    <w:name w:val="List Continue 5"/>
    <w:basedOn w:val="List5"/>
    <w:rsid w:val="00115A9E"/>
    <w:pPr>
      <w:ind w:firstLine="0"/>
    </w:pPr>
  </w:style>
  <w:style w:type="paragraph" w:styleId="ListNumber3">
    <w:name w:val="List Number 3"/>
    <w:basedOn w:val="List3"/>
    <w:rsid w:val="00115A9E"/>
    <w:pPr>
      <w:numPr>
        <w:numId w:val="4"/>
      </w:numPr>
    </w:pPr>
  </w:style>
  <w:style w:type="paragraph" w:styleId="ListNumber4">
    <w:name w:val="List Number 4"/>
    <w:basedOn w:val="List4"/>
    <w:rsid w:val="00115A9E"/>
    <w:pPr>
      <w:numPr>
        <w:numId w:val="5"/>
      </w:numPr>
    </w:pPr>
  </w:style>
  <w:style w:type="paragraph" w:styleId="ListNumber5">
    <w:name w:val="List Number 5"/>
    <w:basedOn w:val="List5"/>
    <w:rsid w:val="00115A9E"/>
    <w:pPr>
      <w:numPr>
        <w:numId w:val="6"/>
      </w:numPr>
    </w:pPr>
  </w:style>
  <w:style w:type="paragraph" w:styleId="BlockText">
    <w:name w:val="Block Text"/>
    <w:basedOn w:val="Normal"/>
    <w:rsid w:val="00115A9E"/>
    <w:pPr>
      <w:spacing w:after="120"/>
      <w:ind w:left="1440" w:right="1440"/>
    </w:pPr>
  </w:style>
  <w:style w:type="character" w:customStyle="1" w:styleId="Subscript">
    <w:name w:val="Subscript"/>
    <w:rsid w:val="00115A9E"/>
    <w:rPr>
      <w:sz w:val="16"/>
      <w:vertAlign w:val="subscript"/>
    </w:rPr>
  </w:style>
  <w:style w:type="character" w:customStyle="1" w:styleId="Superscript">
    <w:name w:val="Superscript"/>
    <w:rsid w:val="00115A9E"/>
    <w:rPr>
      <w:sz w:val="16"/>
      <w:vertAlign w:val="superscript"/>
    </w:rPr>
  </w:style>
  <w:style w:type="character" w:customStyle="1" w:styleId="Symbols">
    <w:name w:val="Symbols"/>
    <w:rsid w:val="00115A9E"/>
    <w:rPr>
      <w:rFonts w:ascii="Symbol" w:hAnsi="Symbol"/>
    </w:rPr>
  </w:style>
  <w:style w:type="character" w:customStyle="1" w:styleId="MenuOptions">
    <w:name w:val="Menu Options"/>
    <w:rsid w:val="00115A9E"/>
    <w:rPr>
      <w:rFonts w:ascii="Arial Narrow" w:hAnsi="Arial Narrow"/>
      <w:smallCaps/>
    </w:rPr>
  </w:style>
  <w:style w:type="character" w:customStyle="1" w:styleId="Buttons">
    <w:name w:val="Buttons"/>
    <w:rsid w:val="00115A9E"/>
    <w:rPr>
      <w:b/>
    </w:rPr>
  </w:style>
  <w:style w:type="character" w:customStyle="1" w:styleId="Underlined">
    <w:name w:val="Underlined"/>
    <w:rsid w:val="00115A9E"/>
    <w:rPr>
      <w:u w:val="single"/>
    </w:rPr>
  </w:style>
  <w:style w:type="paragraph" w:customStyle="1" w:styleId="TableBodyTextRight">
    <w:name w:val="Table Body Text Right"/>
    <w:basedOn w:val="TableBodyText"/>
    <w:rsid w:val="00115A9E"/>
    <w:pPr>
      <w:widowControl w:val="0"/>
      <w:autoSpaceDE w:val="0"/>
      <w:autoSpaceDN w:val="0"/>
      <w:adjustRightInd w:val="0"/>
      <w:jc w:val="right"/>
    </w:pPr>
    <w:rPr>
      <w:rFonts w:cs="Arial"/>
      <w:szCs w:val="18"/>
    </w:rPr>
  </w:style>
  <w:style w:type="paragraph" w:customStyle="1" w:styleId="CopyrightText">
    <w:name w:val="Copyright Text"/>
    <w:basedOn w:val="BodyText"/>
    <w:rsid w:val="00115A9E"/>
    <w:rPr>
      <w:sz w:val="18"/>
    </w:rPr>
  </w:style>
  <w:style w:type="paragraph" w:customStyle="1" w:styleId="BodySmallRight">
    <w:name w:val="Body Small Right"/>
    <w:basedOn w:val="BodyTextRight"/>
    <w:rsid w:val="00115A9E"/>
    <w:rPr>
      <w:sz w:val="18"/>
      <w:szCs w:val="18"/>
    </w:rPr>
  </w:style>
  <w:style w:type="paragraph" w:customStyle="1" w:styleId="MarginEdition">
    <w:name w:val="Margin Edition"/>
    <w:basedOn w:val="MarginNote"/>
    <w:rsid w:val="00115A9E"/>
    <w:pPr>
      <w:spacing w:before="0" w:after="0"/>
    </w:pPr>
    <w:rPr>
      <w:rFonts w:ascii="Times New Roman" w:hAnsi="Times New Roman"/>
      <w:color w:val="999999"/>
    </w:rPr>
  </w:style>
  <w:style w:type="paragraph" w:customStyle="1" w:styleId="Spacer">
    <w:name w:val="Spacer"/>
    <w:basedOn w:val="Normal"/>
    <w:rsid w:val="00115A9E"/>
    <w:rPr>
      <w:sz w:val="2"/>
      <w:szCs w:val="2"/>
    </w:rPr>
  </w:style>
  <w:style w:type="character" w:customStyle="1" w:styleId="Small">
    <w:name w:val="Small"/>
    <w:rsid w:val="00115A9E"/>
    <w:rPr>
      <w:sz w:val="16"/>
    </w:rPr>
  </w:style>
  <w:style w:type="paragraph" w:customStyle="1" w:styleId="WideTable">
    <w:name w:val="Wide Table"/>
    <w:basedOn w:val="Normal"/>
    <w:rsid w:val="00115A9E"/>
    <w:pPr>
      <w:ind w:left="-1418"/>
    </w:pPr>
    <w:rPr>
      <w:sz w:val="2"/>
      <w:szCs w:val="2"/>
    </w:rPr>
  </w:style>
  <w:style w:type="character" w:styleId="PageNumber">
    <w:name w:val="page number"/>
    <w:rsid w:val="00115A9E"/>
  </w:style>
  <w:style w:type="paragraph" w:styleId="Quote">
    <w:name w:val="Quote"/>
    <w:basedOn w:val="Heading1"/>
    <w:link w:val="QuoteChar"/>
    <w:qFormat/>
    <w:rsid w:val="00115A9E"/>
    <w:rPr>
      <w:b w:val="0"/>
      <w:sz w:val="72"/>
      <w:szCs w:val="72"/>
      <w:lang w:val="en-NZ"/>
    </w:rPr>
  </w:style>
  <w:style w:type="character" w:customStyle="1" w:styleId="QuoteChar">
    <w:name w:val="Quote Char"/>
    <w:link w:val="Quote"/>
    <w:rsid w:val="00115A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5A9E"/>
    <w:pPr>
      <w:pageBreakBefore/>
    </w:pPr>
  </w:style>
  <w:style w:type="paragraph" w:customStyle="1" w:styleId="Border">
    <w:name w:val="Border"/>
    <w:basedOn w:val="Normal"/>
    <w:qFormat/>
    <w:rsid w:val="00115A9E"/>
    <w:pPr>
      <w:pBdr>
        <w:top w:val="single" w:sz="18" w:space="1" w:color="auto"/>
      </w:pBdr>
    </w:pPr>
    <w:rPr>
      <w:rFonts w:ascii="Times New Roman" w:hAnsi="Times New Roman"/>
      <w:color w:val="FFFFFF"/>
      <w:sz w:val="2"/>
    </w:rPr>
  </w:style>
  <w:style w:type="character" w:styleId="IntenseEmphasis">
    <w:name w:val="Intense Emphasis"/>
    <w:uiPriority w:val="21"/>
    <w:qFormat/>
    <w:rsid w:val="00115A9E"/>
    <w:rPr>
      <w:b/>
      <w:bCs/>
      <w:i/>
      <w:iCs/>
      <w:color w:val="auto"/>
    </w:rPr>
  </w:style>
  <w:style w:type="paragraph" w:styleId="IntenseQuote">
    <w:name w:val="Intense Quote"/>
    <w:basedOn w:val="Normal"/>
    <w:next w:val="Normal"/>
    <w:link w:val="IntenseQuoteChar"/>
    <w:uiPriority w:val="30"/>
    <w:qFormat/>
    <w:rsid w:val="00115A9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15A9E"/>
    <w:rPr>
      <w:rFonts w:ascii="Courier New" w:eastAsia="Times New Roman" w:hAnsi="Courier New" w:cs="Times New Roman"/>
      <w:b/>
      <w:bCs/>
      <w:i/>
      <w:iCs/>
      <w:szCs w:val="20"/>
      <w:lang w:val="en-US" w:eastAsia="en-US"/>
    </w:rPr>
  </w:style>
  <w:style w:type="character" w:styleId="SubtleReference">
    <w:name w:val="Subtle Reference"/>
    <w:uiPriority w:val="31"/>
    <w:qFormat/>
    <w:rsid w:val="00115A9E"/>
    <w:rPr>
      <w:smallCaps/>
      <w:color w:val="auto"/>
      <w:u w:val="single"/>
    </w:rPr>
  </w:style>
  <w:style w:type="character" w:styleId="IntenseReference">
    <w:name w:val="Intense Reference"/>
    <w:uiPriority w:val="32"/>
    <w:qFormat/>
    <w:rsid w:val="00115A9E"/>
    <w:rPr>
      <w:b/>
      <w:bCs/>
      <w:smallCaps/>
      <w:color w:val="auto"/>
      <w:spacing w:val="5"/>
      <w:u w:val="single"/>
    </w:rPr>
  </w:style>
  <w:style w:type="paragraph" w:customStyle="1" w:styleId="2ColumnHeading">
    <w:name w:val="2Column Heading"/>
    <w:basedOn w:val="BodyText"/>
    <w:qFormat/>
    <w:rsid w:val="00115A9E"/>
    <w:pPr>
      <w:spacing w:after="60"/>
      <w:ind w:left="-2268"/>
    </w:pPr>
    <w:rPr>
      <w:b/>
    </w:rPr>
  </w:style>
  <w:style w:type="paragraph" w:customStyle="1" w:styleId="Heading1TOC">
    <w:name w:val="Heading1 TOC"/>
    <w:basedOn w:val="Normal"/>
    <w:qFormat/>
    <w:rsid w:val="00115A9E"/>
    <w:pPr>
      <w:spacing w:before="240" w:after="120"/>
    </w:pPr>
    <w:rPr>
      <w:rFonts w:ascii="Times New Roman" w:hAnsi="Times New Roman"/>
      <w:b/>
      <w:sz w:val="32"/>
    </w:rPr>
  </w:style>
  <w:style w:type="paragraph" w:customStyle="1" w:styleId="Heading2TOC">
    <w:name w:val="Heading2 TOC"/>
    <w:basedOn w:val="Normal"/>
    <w:qFormat/>
    <w:rsid w:val="00115A9E"/>
    <w:pPr>
      <w:spacing w:before="240" w:after="60"/>
    </w:pPr>
    <w:rPr>
      <w:rFonts w:ascii="Times New Roman" w:hAnsi="Times New Roman"/>
      <w:b/>
      <w:sz w:val="28"/>
    </w:rPr>
  </w:style>
  <w:style w:type="character" w:customStyle="1" w:styleId="Underline">
    <w:name w:val="Underline"/>
    <w:qFormat/>
    <w:rsid w:val="00115A9E"/>
    <w:rPr>
      <w:u w:val="single"/>
    </w:rPr>
  </w:style>
  <w:style w:type="character" w:customStyle="1" w:styleId="BoldandItalics">
    <w:name w:val="Bold and Italics"/>
    <w:qFormat/>
    <w:rsid w:val="00115A9E"/>
    <w:rPr>
      <w:b/>
      <w:i/>
      <w:u w:val="none"/>
    </w:rPr>
  </w:style>
  <w:style w:type="paragraph" w:styleId="BalloonText">
    <w:name w:val="Balloon Text"/>
    <w:basedOn w:val="Normal"/>
    <w:link w:val="BalloonTextChar"/>
    <w:rsid w:val="00115A9E"/>
    <w:rPr>
      <w:rFonts w:ascii="Tahoma" w:hAnsi="Tahoma" w:cs="Tahoma"/>
      <w:sz w:val="16"/>
      <w:szCs w:val="16"/>
    </w:rPr>
  </w:style>
  <w:style w:type="character" w:customStyle="1" w:styleId="BalloonTextChar">
    <w:name w:val="Balloon Text Char"/>
    <w:link w:val="BalloonText"/>
    <w:rsid w:val="00115A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5A9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15A9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E309D55D.dotm</Template>
  <TotalTime>0</TotalTime>
  <Pages>6</Pages>
  <Words>1153</Words>
  <Characters>6913</Characters>
  <Application>Microsoft Office Word</Application>
  <DocSecurity>0</DocSecurity>
  <Lines>212</Lines>
  <Paragraphs>137</Paragraphs>
  <ScaleCrop>false</ScaleCrop>
  <Company>Author-it Software Corporation Ltd.</Company>
  <LinksUpToDate>false</LinksUpToDate>
  <CharactersWithSpaces>7993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FDFSUG103A Move cane bins in a marshalling yard</dc:title>
  <dc:subject>Approved</dc:subject>
  <dc:creator>AgriFood Skills Australia</dc:creator>
  <cp:keywords>Release: 1</cp:keywords>
  <dc:description>Copyright © 1996-2007 Author-it Software Corporation Ltd., all rights reserved.</dc:description>
  <cp:lastModifiedBy>Narendra Tomar</cp:lastModifiedBy>
  <cp:revision>3</cp:revision>
  <dcterms:created xsi:type="dcterms:W3CDTF">2012-05-26T16:07:00Z</dcterms:created>
  <dcterms:modified xsi:type="dcterms:W3CDTF">2012-05-26T16:07:00Z</dcterms:modified>
</cp:coreProperties>
</file>