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F4F" w:rsidP="007F4F4F">
      <w:pPr>
        <w:pStyle w:val="Title"/>
      </w:pPr>
      <w:r>
        <w:fldChar w:fldCharType="begin"/>
      </w:r>
      <w:r>
        <w:instrText xml:space="preserve"> TITLE   \* MERGEFORMAT </w:instrText>
      </w:r>
      <w:r>
        <w:fldChar w:fldCharType="separate"/>
      </w:r>
      <w:r>
        <w:t>FDFRB3016A Plan and schedule production for retail bakery</w:t>
      </w:r>
      <w:r>
        <w:fldChar w:fldCharType="end"/>
      </w:r>
    </w:p>
    <w:p w:rsidR="007F4F4F" w:rsidP="007F4F4F">
      <w:pPr>
        <w:pStyle w:val="Version"/>
        <w:sectPr w:rsidSect="00CC2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212A" w:rsidP="00CC212A">
      <w:pPr>
        <w:pStyle w:val="SuperHeading"/>
      </w:pPr>
      <w:r w:rsidRPr="00CC212A">
        <w:t>FDFRB3016A Plan and schedule production for retail bakery</w:t>
      </w:r>
    </w:p>
    <w:p w:rsidR="00000000" w:rsidRPr="00CC212A" w:rsidP="00CC212A">
      <w:pPr>
        <w:pStyle w:val="SuperHeading"/>
      </w:pPr>
    </w:p>
    <w:p w:rsidR="00000000" w:rsidRPr="00CC212A" w:rsidP="00CC212A">
      <w:pPr>
        <w:pStyle w:val="Heading1"/>
      </w:pPr>
      <w:bookmarkStart w:id="1" w:name="O_76755"/>
      <w:bookmarkEnd w:id="1"/>
      <w:r w:rsidRPr="00CC212A">
        <w:t>Modification History</w:t>
      </w:r>
    </w:p>
    <w:p w:rsidR="00000000" w:rsidRPr="00CC212A" w:rsidP="00CC212A">
      <w:pPr>
        <w:pStyle w:val="BodyText"/>
      </w:pPr>
      <w:r w:rsidRPr="00CC212A">
        <w:t>Not applicable.</w:t>
      </w:r>
    </w:p>
    <w:p w:rsidR="00000000" w:rsidRPr="00CC212A" w:rsidP="00CC212A">
      <w:pPr>
        <w:pStyle w:val="AllowPageBreak"/>
      </w:pPr>
    </w:p>
    <w:p w:rsidR="00000000" w:rsidRPr="00CC212A" w:rsidP="00CC212A">
      <w:pPr>
        <w:pStyle w:val="Heading1"/>
      </w:pPr>
      <w:bookmarkStart w:id="2" w:name="O_76756"/>
      <w:bookmarkEnd w:id="2"/>
      <w:r w:rsidRPr="00CC212A">
        <w:t>Unit Descriptor</w:t>
      </w:r>
    </w:p>
    <w:tbl>
      <w:tblPr>
        <w:tblW w:w="0" w:type="auto"/>
        <w:tblLayout w:type="fixed"/>
        <w:tblCellMar>
          <w:left w:w="62" w:type="dxa"/>
          <w:right w:w="62" w:type="dxa"/>
        </w:tblCellMar>
        <w:tblLook w:val="0000"/>
      </w:tblPr>
      <w:tblGrid>
        <w:gridCol w:w="2669"/>
        <w:gridCol w:w="5853"/>
      </w:tblGrid>
      <w:tr w:rsidTr="007F4F4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This unit of competency covers the skills and knowledge required to plan and schedule work to m</w:t>
            </w:r>
            <w:r w:rsidRPr="00CC212A">
              <w:t>eet production requirements in a retail bakery or in-store bakery environment.</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3" w:name="O_76757"/>
      <w:bookmarkEnd w:id="3"/>
      <w:r w:rsidRPr="00CC212A">
        <w:t>Application of the Unit</w:t>
      </w:r>
    </w:p>
    <w:tbl>
      <w:tblPr>
        <w:tblW w:w="0" w:type="auto"/>
        <w:tblLayout w:type="fixed"/>
        <w:tblCellMar>
          <w:left w:w="62" w:type="dxa"/>
          <w:right w:w="62" w:type="dxa"/>
        </w:tblCellMar>
        <w:tblLook w:val="0000"/>
      </w:tblPr>
      <w:tblGrid>
        <w:gridCol w:w="2754"/>
        <w:gridCol w:w="5768"/>
      </w:tblGrid>
      <w:tr w:rsidTr="007F4F4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This unit applies in a retail bakery environment.</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4" w:name="O_76758"/>
      <w:bookmarkEnd w:id="4"/>
      <w:r w:rsidRPr="00CC212A">
        <w:t>Licensing/Regulatory Information</w:t>
      </w:r>
    </w:p>
    <w:p w:rsidR="00000000" w:rsidRPr="00CC212A" w:rsidP="00CC212A">
      <w:pPr>
        <w:pStyle w:val="BodyText"/>
      </w:pPr>
      <w:r w:rsidRPr="00CC212A">
        <w:t>Not applicable.</w:t>
      </w:r>
    </w:p>
    <w:p w:rsidR="00000000" w:rsidRPr="00CC212A" w:rsidP="00CC212A">
      <w:pPr>
        <w:pStyle w:val="AllowPageBreak"/>
      </w:pPr>
    </w:p>
    <w:p w:rsidR="00000000" w:rsidRPr="00CC212A" w:rsidP="00CC212A">
      <w:pPr>
        <w:pStyle w:val="Heading1"/>
      </w:pPr>
      <w:bookmarkStart w:id="5" w:name="O_76760"/>
      <w:bookmarkEnd w:id="5"/>
      <w:r w:rsidRPr="00CC212A">
        <w:t>Pre-Requisites</w:t>
      </w:r>
    </w:p>
    <w:tbl>
      <w:tblPr>
        <w:tblW w:w="0" w:type="auto"/>
        <w:tblLayout w:type="fixed"/>
        <w:tblCellMar>
          <w:left w:w="62" w:type="dxa"/>
          <w:right w:w="62" w:type="dxa"/>
        </w:tblCellMar>
        <w:tblLook w:val="0000"/>
      </w:tblPr>
      <w:tblGrid>
        <w:gridCol w:w="2775"/>
        <w:gridCol w:w="1295"/>
        <w:gridCol w:w="4452"/>
      </w:tblGrid>
      <w:tr w:rsidTr="007F4F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p>
        </w:tc>
      </w:tr>
      <w:tr w:rsidTr="007F4F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p>
        </w:tc>
      </w:tr>
      <w:tr w:rsidTr="007F4F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6" w:name="O_76759"/>
      <w:bookmarkEnd w:id="6"/>
      <w:r w:rsidRPr="00CC212A">
        <w:t>Employability Skills Information</w:t>
      </w:r>
    </w:p>
    <w:tbl>
      <w:tblPr>
        <w:tblW w:w="0" w:type="auto"/>
        <w:tblLayout w:type="fixed"/>
        <w:tblCellMar>
          <w:left w:w="62" w:type="dxa"/>
          <w:right w:w="62" w:type="dxa"/>
        </w:tblCellMar>
        <w:tblLook w:val="0000"/>
      </w:tblPr>
      <w:tblGrid>
        <w:gridCol w:w="2802"/>
        <w:gridCol w:w="5720"/>
      </w:tblGrid>
      <w:tr w:rsidTr="007F4F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 xml:space="preserve">This unit contains employability skills.  </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7" w:name="O_76761"/>
      <w:bookmarkEnd w:id="7"/>
      <w:r w:rsidRPr="00CC212A">
        <w:t>Elements and Performance Criteria Pre-Content</w:t>
      </w:r>
    </w:p>
    <w:tbl>
      <w:tblPr>
        <w:tblW w:w="0" w:type="auto"/>
        <w:tblLayout w:type="fixed"/>
        <w:tblCellMar>
          <w:left w:w="62" w:type="dxa"/>
          <w:right w:w="62" w:type="dxa"/>
        </w:tblCellMar>
        <w:tblLook w:val="0000"/>
      </w:tblPr>
      <w:tblGrid>
        <w:gridCol w:w="2551"/>
        <w:gridCol w:w="5971"/>
      </w:tblGrid>
      <w:tr w:rsidTr="007F4F4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Performance criteria describe the performance needed to demonstrate achievement of the element. Where bold italicised text is used, further information is detailed in the required skills and</w:t>
            </w:r>
            <w:r w:rsidRPr="00CC212A">
              <w:t xml:space="preserve"> knowledge section and the range statement. Assessment of performance is to be consistent with the evidence guide.</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8" w:name="O_76762"/>
      <w:bookmarkEnd w:id="8"/>
      <w:r w:rsidRPr="00CC212A">
        <w:t>Elements and Performance Criteria</w:t>
      </w:r>
    </w:p>
    <w:tbl>
      <w:tblPr>
        <w:tblW w:w="0" w:type="auto"/>
        <w:tblLayout w:type="fixed"/>
        <w:tblCellMar>
          <w:left w:w="62" w:type="dxa"/>
          <w:right w:w="62" w:type="dxa"/>
        </w:tblCellMar>
        <w:tblLook w:val="0000"/>
      </w:tblPr>
      <w:tblGrid>
        <w:gridCol w:w="2551"/>
        <w:gridCol w:w="5971"/>
      </w:tblGrid>
      <w:tr w:rsidTr="007F4F4F">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PERFORMANCE CRITERIA</w:t>
            </w:r>
          </w:p>
        </w:tc>
      </w:tr>
      <w:tr w:rsidTr="007F4F4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List"/>
              <w:rPr>
                <w:lang w:val="en-NZ"/>
              </w:rPr>
            </w:pPr>
            <w:r w:rsidRPr="00CC212A">
              <w:t>1.</w:t>
            </w:r>
            <w:r w:rsidRPr="00CC212A">
              <w:tab/>
              <w:t>Establish production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List2"/>
            </w:pPr>
            <w:r w:rsidRPr="00CC212A">
              <w:t>1.1.</w:t>
            </w:r>
            <w:r w:rsidRPr="00CC212A">
              <w:tab/>
            </w:r>
            <w:r w:rsidRPr="00CC212A">
              <w:t xml:space="preserve">Identify sales history information </w:t>
            </w:r>
          </w:p>
          <w:p w:rsidR="00000000" w:rsidRPr="00CC212A" w:rsidP="00CC212A">
            <w:pPr>
              <w:pStyle w:val="List2"/>
            </w:pPr>
            <w:r w:rsidRPr="00CC212A">
              <w:t>1.2.</w:t>
            </w:r>
            <w:r w:rsidRPr="00CC212A">
              <w:tab/>
              <w:t>Identify any special conditions that may affect production requirements</w:t>
            </w:r>
          </w:p>
          <w:p w:rsidR="00000000" w:rsidP="00CC212A">
            <w:pPr>
              <w:pStyle w:val="List2"/>
              <w:rPr>
                <w:lang w:val="en-NZ"/>
              </w:rPr>
            </w:pPr>
            <w:r w:rsidRPr="00CC212A">
              <w:t>1.3.</w:t>
            </w:r>
            <w:r w:rsidRPr="00CC212A">
              <w:tab/>
              <w:t>Estimate production requirements</w:t>
            </w:r>
          </w:p>
        </w:tc>
      </w:tr>
      <w:tr w:rsidTr="007F4F4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List"/>
              <w:rPr>
                <w:lang w:val="en-NZ"/>
              </w:rPr>
            </w:pPr>
            <w:r w:rsidRPr="00CC212A">
              <w:t>2.</w:t>
            </w:r>
            <w:r w:rsidRPr="00CC212A">
              <w:tab/>
              <w:t>Schedule production to meet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List2"/>
            </w:pPr>
            <w:r w:rsidRPr="00CC212A">
              <w:t>2.1.</w:t>
            </w:r>
            <w:r w:rsidRPr="00CC212A">
              <w:tab/>
              <w:t xml:space="preserve">Calculate dough/batter types and volumes </w:t>
            </w:r>
          </w:p>
          <w:p w:rsidR="00000000" w:rsidRPr="00CC212A" w:rsidP="00CC212A">
            <w:pPr>
              <w:pStyle w:val="List2"/>
            </w:pPr>
            <w:r w:rsidRPr="00CC212A">
              <w:t>2.2.</w:t>
            </w:r>
            <w:r w:rsidRPr="00CC212A">
              <w:tab/>
              <w:t>Schedule</w:t>
            </w:r>
            <w:r w:rsidRPr="00CC212A">
              <w:t xml:space="preserve"> batches to meet customer requirements and equipment capacity </w:t>
            </w:r>
          </w:p>
          <w:p w:rsidR="00000000" w:rsidRPr="00CC212A" w:rsidP="00CC212A">
            <w:pPr>
              <w:pStyle w:val="List2"/>
            </w:pPr>
            <w:r w:rsidRPr="00CC212A">
              <w:t>2.3.</w:t>
            </w:r>
            <w:r w:rsidRPr="00CC212A">
              <w:tab/>
              <w:t>Communicate production schedule as required according to workplace practice</w:t>
            </w:r>
          </w:p>
          <w:p w:rsidR="00000000" w:rsidRPr="00CC212A" w:rsidP="00CC212A">
            <w:pPr>
              <w:pStyle w:val="List2"/>
            </w:pPr>
            <w:r w:rsidRPr="00CC212A">
              <w:t>2.4.</w:t>
            </w:r>
            <w:r w:rsidRPr="00CC212A">
              <w:tab/>
              <w:t>Product is available to customer demand in the required quantities, at the required quality and at the requ</w:t>
            </w:r>
            <w:r w:rsidRPr="00CC212A">
              <w:t xml:space="preserve">ired time </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9" w:name="O_76763"/>
      <w:bookmarkEnd w:id="9"/>
      <w:r w:rsidRPr="00CC212A">
        <w:t>Required Skills and Knowledge</w:t>
      </w:r>
    </w:p>
    <w:tbl>
      <w:tblPr>
        <w:tblW w:w="0" w:type="auto"/>
        <w:tblLayout w:type="fixed"/>
        <w:tblCellMar>
          <w:left w:w="62" w:type="dxa"/>
          <w:right w:w="62" w:type="dxa"/>
        </w:tblCellMar>
        <w:tblLook w:val="0000"/>
      </w:tblPr>
      <w:tblGrid>
        <w:gridCol w:w="8522"/>
      </w:tblGrid>
      <w:tr w:rsidTr="007F4F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REQUIRED SKILLS AND KNOWLEDGE</w:t>
            </w:r>
          </w:p>
        </w:tc>
      </w:tr>
      <w:tr w:rsidTr="007F4F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This section describes the skills and knowledge required for this unit.</w:t>
            </w:r>
          </w:p>
        </w:tc>
      </w:tr>
      <w:tr w:rsidTr="007F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Required skills</w:t>
            </w:r>
          </w:p>
        </w:tc>
      </w:tr>
      <w:tr w:rsidTr="007F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rPr>
                <w:rStyle w:val="BoldandItalics"/>
              </w:rPr>
              <w:t>Ability to</w:t>
            </w:r>
            <w:r w:rsidRPr="00CC212A">
              <w:t>:</w:t>
            </w:r>
          </w:p>
          <w:p w:rsidR="00000000" w:rsidRPr="00CC212A" w:rsidP="00CC212A">
            <w:pPr>
              <w:pStyle w:val="ListBullet"/>
            </w:pPr>
            <w:r w:rsidRPr="00CC212A">
              <w:t xml:space="preserve">identify relevant information, such as sales volumes and purchasing patterns and any conditions that could influence sales </w:t>
            </w:r>
          </w:p>
          <w:p w:rsidR="00000000" w:rsidRPr="00CC212A" w:rsidP="00CC212A">
            <w:pPr>
              <w:pStyle w:val="ListBullet"/>
            </w:pPr>
            <w:r w:rsidRPr="00CC212A">
              <w:t>estimate how much and what type of product is required and the time it should be available (this estimate can be for one day or according to workplace requirements)</w:t>
            </w:r>
          </w:p>
          <w:p w:rsidR="00000000" w:rsidRPr="00CC212A" w:rsidP="00CC212A">
            <w:pPr>
              <w:pStyle w:val="ListBullet"/>
            </w:pPr>
            <w:r w:rsidRPr="00CC212A">
              <w:t>estimate dough weight compared to finished product weight</w:t>
            </w:r>
          </w:p>
          <w:p w:rsidR="00000000" w:rsidRPr="00CC212A" w:rsidP="00CC212A">
            <w:pPr>
              <w:pStyle w:val="ListBullet"/>
            </w:pPr>
            <w:r w:rsidRPr="00CC212A">
              <w:t>determine optimum batch size, num</w:t>
            </w:r>
            <w:r w:rsidRPr="00CC212A">
              <w:t>ber and timing, taking account of process stages, equipment capacity and availability of labour</w:t>
            </w:r>
          </w:p>
          <w:p w:rsidR="00000000" w:rsidRPr="00CC212A" w:rsidP="00CC212A">
            <w:pPr>
              <w:pStyle w:val="ListBullet"/>
            </w:pPr>
            <w:r w:rsidRPr="00CC212A">
              <w:t>produce or complete a production schedule covering each stage of the production process</w:t>
            </w:r>
          </w:p>
          <w:p w:rsidR="00000000" w:rsidRPr="00CC212A" w:rsidP="00CC212A">
            <w:pPr>
              <w:pStyle w:val="ListBullet"/>
            </w:pPr>
            <w:r w:rsidRPr="00CC212A">
              <w:t>regulate dough/batter maturity and proving of yeast products so they arr</w:t>
            </w:r>
            <w:r w:rsidRPr="00CC212A">
              <w:t>ive at the oven at the optimum time and condition</w:t>
            </w:r>
          </w:p>
          <w:p w:rsidR="00000000" w:rsidRPr="00CC212A" w:rsidP="00CC212A">
            <w:pPr>
              <w:pStyle w:val="ListBullet"/>
            </w:pPr>
            <w:r w:rsidRPr="00CC212A">
              <w:t>develop a production schedule (where a workplace has an existing production schedule format, assessment can be based on completing production schedule details - where there is no established format, the ass</w:t>
            </w:r>
            <w:r w:rsidRPr="00CC212A">
              <w:t>essee is required to produce a production schedule to describe a daily production requirement)</w:t>
            </w:r>
          </w:p>
          <w:p w:rsidR="00000000" w:rsidRPr="00CC212A" w:rsidP="00CC212A">
            <w:pPr>
              <w:pStyle w:val="ListBullet"/>
            </w:pPr>
            <w:r w:rsidRPr="00CC212A">
              <w:t>use oral communication skills/language competence to fulfil the job role as specified by the organisation, including questioning, active listening, asking for cl</w:t>
            </w:r>
            <w:r w:rsidRPr="00CC212A">
              <w:t>arification and seeking advice from supervisor</w:t>
            </w:r>
          </w:p>
          <w:p w:rsidR="00000000" w:rsidP="00CC212A">
            <w:pPr>
              <w:pStyle w:val="ListBullet"/>
              <w:rPr>
                <w:lang w:val="en-NZ"/>
              </w:rPr>
            </w:pPr>
            <w:r w:rsidRPr="00CC212A">
              <w:t>work cooperatively within a culturally diverse workforce</w:t>
            </w:r>
          </w:p>
        </w:tc>
      </w:tr>
      <w:tr w:rsidTr="007F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Required knowledge</w:t>
            </w:r>
          </w:p>
        </w:tc>
      </w:tr>
      <w:tr w:rsidTr="007F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rPr>
                <w:rStyle w:val="BoldandItalics"/>
              </w:rPr>
              <w:t>Knowledge of</w:t>
            </w:r>
            <w:r w:rsidRPr="00CC212A">
              <w:t>:</w:t>
            </w:r>
          </w:p>
          <w:p w:rsidR="00000000" w:rsidRPr="00CC212A" w:rsidP="00CC212A">
            <w:pPr>
              <w:pStyle w:val="ListBullet"/>
            </w:pPr>
            <w:r w:rsidRPr="00CC212A">
              <w:t>sources of information on sales performance, history and special events</w:t>
            </w:r>
          </w:p>
          <w:p w:rsidR="00000000" w:rsidRPr="00CC212A" w:rsidP="00CC212A">
            <w:pPr>
              <w:pStyle w:val="ListBullet"/>
            </w:pPr>
            <w:r w:rsidRPr="00CC212A">
              <w:t>methods used to regulate dough/batter matura</w:t>
            </w:r>
            <w:r w:rsidRPr="00CC212A">
              <w:t>tion and proving, including formulation, temperature control and time</w:t>
            </w:r>
          </w:p>
          <w:p w:rsidR="00000000" w:rsidRPr="00CC212A" w:rsidP="00CC212A">
            <w:pPr>
              <w:pStyle w:val="ListBullet"/>
            </w:pPr>
            <w:r w:rsidRPr="00CC212A">
              <w:t xml:space="preserve">production schedule formats and level of detail as appropriate to meet workplace scheduling requirements </w:t>
            </w:r>
          </w:p>
          <w:p w:rsidR="00000000" w:rsidRPr="00CC212A" w:rsidP="00CC212A">
            <w:pPr>
              <w:pStyle w:val="ListBullet"/>
            </w:pPr>
            <w:r w:rsidRPr="00CC212A">
              <w:t>an overview of baking processes and stages to match production to optimal timing and equipment capacity</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10" w:name="O_76764"/>
      <w:bookmarkEnd w:id="10"/>
      <w:r w:rsidRPr="00CC212A">
        <w:t>Evidence Guide</w:t>
      </w:r>
    </w:p>
    <w:tbl>
      <w:tblPr>
        <w:tblW w:w="9570" w:type="dxa"/>
        <w:tblLayout w:type="fixed"/>
        <w:tblCellMar>
          <w:left w:w="62" w:type="dxa"/>
          <w:right w:w="62" w:type="dxa"/>
        </w:tblCellMar>
        <w:tblLook w:val="0000"/>
      </w:tblPr>
      <w:tblGrid>
        <w:gridCol w:w="3908"/>
        <w:gridCol w:w="5662"/>
      </w:tblGrid>
      <w:tr w:rsidTr="007F4F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EVIDENCE GUIDE</w:t>
            </w:r>
          </w:p>
        </w:tc>
      </w:tr>
      <w:tr w:rsidTr="007F4F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The Evidence Guide provides advice on assessment and must be read in conjunction with the performance criteria, required skills and knowledge, range statement and the Assessment Guidelines for the Training Package.</w:t>
            </w:r>
          </w:p>
        </w:tc>
      </w:tr>
      <w:tr w:rsidTr="007F4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 xml:space="preserve">Assessment must </w:t>
            </w:r>
            <w:r w:rsidRPr="00CC212A">
              <w:t>be carried out in a manner that recognises the cultural and literacy requirements of the assessee and is appropriate to the work performed. Competence in this unit must be achieved in accordance with food safety standards and regulations.</w:t>
            </w:r>
          </w:p>
        </w:tc>
      </w:tr>
      <w:tr w:rsidTr="007F4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Critical aspects</w:t>
            </w:r>
            <w:r w:rsidRPr="00CC212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Evidence of ability to:</w:t>
            </w:r>
          </w:p>
          <w:p w:rsidR="00000000" w:rsidRPr="00CC212A" w:rsidP="00CC212A">
            <w:pPr>
              <w:pStyle w:val="ListBullet"/>
            </w:pPr>
            <w:r w:rsidRPr="00CC212A">
              <w:t>determine sales patterns and production requirements</w:t>
            </w:r>
          </w:p>
          <w:p w:rsidR="00000000" w:rsidRPr="00CC212A" w:rsidP="00CC212A">
            <w:pPr>
              <w:pStyle w:val="ListBullet"/>
            </w:pPr>
            <w:r w:rsidRPr="00CC212A">
              <w:t>conduct estimations and calculations to determine production requirements</w:t>
            </w:r>
          </w:p>
          <w:p w:rsidR="00000000" w:rsidRPr="00CC212A" w:rsidP="00CC212A">
            <w:pPr>
              <w:pStyle w:val="ListBullet"/>
            </w:pPr>
            <w:r w:rsidRPr="00CC212A">
              <w:t>schedule production to meet customer requirements</w:t>
            </w:r>
          </w:p>
          <w:p w:rsidR="00000000" w:rsidRPr="00CC212A" w:rsidP="00CC212A">
            <w:pPr>
              <w:pStyle w:val="ListBullet"/>
            </w:pPr>
            <w:r w:rsidRPr="00CC212A">
              <w:t>communicate production requirements</w:t>
            </w:r>
          </w:p>
          <w:p w:rsidR="00000000" w:rsidP="00CC212A">
            <w:pPr>
              <w:pStyle w:val="ListBullet"/>
              <w:rPr>
                <w:lang w:val="en-NZ"/>
              </w:rPr>
            </w:pPr>
            <w:r w:rsidRPr="00CC212A">
              <w:t>apply food safety procedures.</w:t>
            </w:r>
          </w:p>
        </w:tc>
      </w:tr>
      <w:tr w:rsidTr="007F4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Assessment of this unit must occur in a real or simulated workplace. Such an environment m</w:t>
            </w:r>
            <w:r w:rsidRPr="00CC212A">
              <w:t>ust provide an opportunity for the assessee to prepare or complete a daily production schedule given:</w:t>
            </w:r>
          </w:p>
          <w:p w:rsidR="00000000" w:rsidRPr="00CC212A" w:rsidP="00CC212A">
            <w:pPr>
              <w:pStyle w:val="ListBullet"/>
            </w:pPr>
            <w:r w:rsidRPr="00CC212A">
              <w:t>sales performance, history and other relevant information</w:t>
            </w:r>
          </w:p>
          <w:p w:rsidR="00000000" w:rsidRPr="00CC212A" w:rsidP="00CC212A">
            <w:pPr>
              <w:pStyle w:val="ListBullet"/>
            </w:pPr>
            <w:r w:rsidRPr="00CC212A">
              <w:t>product formulations</w:t>
            </w:r>
          </w:p>
          <w:p w:rsidR="00000000" w:rsidRPr="00CC212A" w:rsidP="00CC212A">
            <w:pPr>
              <w:pStyle w:val="ListBullet"/>
            </w:pPr>
            <w:r w:rsidRPr="00CC212A">
              <w:t>formulae to calculate batch weight to finished product weight</w:t>
            </w:r>
          </w:p>
          <w:p w:rsidR="00000000" w:rsidP="00CC212A">
            <w:pPr>
              <w:pStyle w:val="ListBullet"/>
              <w:rPr>
                <w:lang w:val="en-NZ"/>
              </w:rPr>
            </w:pPr>
            <w:r w:rsidRPr="00CC212A">
              <w:t>process equi</w:t>
            </w:r>
            <w:r w:rsidRPr="00CC212A">
              <w:t>pment and information on capacity.</w:t>
            </w:r>
          </w:p>
        </w:tc>
      </w:tr>
      <w:tr w:rsidTr="007F4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 xml:space="preserve">This unit should be assessed together with core units and other units of competency relevant to the function or work role. </w:t>
            </w:r>
          </w:p>
        </w:tc>
      </w:tr>
      <w:tr w:rsidTr="007F4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To ensure consistency in one's performance, competency should be demonstrated on more than one occasion over a period of time in order to cover a variety of circumstances, cases and responsibilities, and where possible, over a number of assessment activiti</w:t>
            </w:r>
            <w:r w:rsidRPr="00CC212A">
              <w:t>es.</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11" w:name="O_76765"/>
      <w:bookmarkEnd w:id="11"/>
      <w:r w:rsidRPr="00CC212A">
        <w:t>Range Statement</w:t>
      </w:r>
    </w:p>
    <w:tbl>
      <w:tblPr>
        <w:tblW w:w="0" w:type="auto"/>
        <w:tblLayout w:type="fixed"/>
        <w:tblCellMar>
          <w:left w:w="62" w:type="dxa"/>
          <w:right w:w="62" w:type="dxa"/>
        </w:tblCellMar>
        <w:tblLook w:val="0000"/>
      </w:tblPr>
      <w:tblGrid>
        <w:gridCol w:w="3504"/>
        <w:gridCol w:w="5018"/>
      </w:tblGrid>
      <w:tr w:rsidTr="007F4F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RANGE STATEMENT</w:t>
            </w:r>
          </w:p>
        </w:tc>
      </w:tr>
      <w:tr w:rsidTr="007F4F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The range statement relates to the unit of competency as a whole. It allows for different work environments and situations that may affect performance. Bold italicised wording, if used in the performan</w:t>
            </w:r>
            <w:r w:rsidRPr="00CC212A">
              <w:t>ce criteria, is detailed below. Essential operating conditions that may be present with training and assessment (depending on the work situation, needs of the candidate, accessibility of the item, and local industry and regional contexts) may also be inclu</w:t>
            </w:r>
            <w:r w:rsidRPr="00CC212A">
              <w:t>ded.</w:t>
            </w:r>
          </w:p>
        </w:tc>
      </w:tr>
      <w:tr w:rsidTr="007F4F4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Policies and procedures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Work is carried out according to company policies and procedures, regulatory and licensing requirements, legislative requirements, workplace environmental guidelines and industrial awards and agreements</w:t>
            </w:r>
          </w:p>
        </w:tc>
      </w:tr>
      <w:tr w:rsidTr="007F4F4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Sales history</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t>Sales history identifies the number of products sold over a given period. It may also indicate the pattern of sales over the course of a day</w:t>
            </w:r>
          </w:p>
        </w:tc>
      </w:tr>
      <w:tr w:rsidTr="007F4F4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Special conditions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Special conditions that may affect production requirements can include:</w:t>
            </w:r>
          </w:p>
          <w:p w:rsidR="00000000" w:rsidP="00CC212A">
            <w:pPr>
              <w:pStyle w:val="ListBullet"/>
              <w:rPr>
                <w:lang w:val="en-NZ"/>
              </w:rPr>
            </w:pPr>
            <w:r w:rsidRPr="00CC212A">
              <w:t>weather conditions and</w:t>
            </w:r>
            <w:r w:rsidRPr="00CC212A">
              <w:t xml:space="preserve"> special events or occasions</w:t>
            </w:r>
          </w:p>
        </w:tc>
      </w:tr>
      <w:tr w:rsidTr="007F4F4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Matching equipment capacity</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Matching equipment capacity includes:</w:t>
            </w:r>
          </w:p>
          <w:p w:rsidR="00000000" w:rsidRPr="00CC212A" w:rsidP="00CC212A">
            <w:pPr>
              <w:pStyle w:val="ListBullet"/>
            </w:pPr>
            <w:r w:rsidRPr="00CC212A">
              <w:t>taking account of throughput speed</w:t>
            </w:r>
          </w:p>
        </w:tc>
      </w:tr>
    </w:tbl>
    <w:p w:rsidR="007F4F4F" w:rsidP="00CC212A">
      <w:pPr>
        <w:pStyle w:val="BodyText"/>
      </w:pPr>
    </w:p>
    <w:p w:rsidR="007F4F4F" w:rsidP="00CC212A">
      <w:pPr>
        <w:pStyle w:val="BodyText"/>
      </w:pPr>
    </w:p>
    <w:p w:rsidR="00000000" w:rsidRPr="00CC212A" w:rsidP="00CC212A">
      <w:pPr>
        <w:pStyle w:val="Heading1"/>
      </w:pPr>
      <w:bookmarkStart w:id="12" w:name="O_76766"/>
      <w:bookmarkEnd w:id="12"/>
      <w:r w:rsidRPr="00CC212A">
        <w:t>Unit Sector(s)</w:t>
      </w:r>
    </w:p>
    <w:tbl>
      <w:tblPr>
        <w:tblW w:w="0" w:type="auto"/>
        <w:tblLayout w:type="fixed"/>
        <w:tblCellMar>
          <w:left w:w="62" w:type="dxa"/>
          <w:right w:w="62" w:type="dxa"/>
        </w:tblCellMar>
        <w:tblLook w:val="0000"/>
      </w:tblPr>
      <w:tblGrid>
        <w:gridCol w:w="2624"/>
        <w:gridCol w:w="5898"/>
      </w:tblGrid>
      <w:tr w:rsidTr="007F4F4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r w:rsidRPr="00CC212A">
              <w:t>Retail baking</w:t>
            </w: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13" w:name="O_156035"/>
      <w:bookmarkEnd w:id="13"/>
      <w:r w:rsidRPr="00CC212A">
        <w:t>Competency field</w:t>
      </w:r>
    </w:p>
    <w:tbl>
      <w:tblPr>
        <w:tblW w:w="0" w:type="auto"/>
        <w:tblLayout w:type="fixed"/>
        <w:tblCellMar>
          <w:left w:w="62" w:type="dxa"/>
          <w:right w:w="62" w:type="dxa"/>
        </w:tblCellMar>
        <w:tblLook w:val="0000"/>
      </w:tblPr>
      <w:tblGrid>
        <w:gridCol w:w="2784"/>
        <w:gridCol w:w="5738"/>
      </w:tblGrid>
      <w:tr w:rsidTr="007F4F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p>
        </w:tc>
      </w:tr>
    </w:tbl>
    <w:p w:rsidR="00000000" w:rsidRPr="00CC212A" w:rsidP="00CC212A">
      <w:pPr>
        <w:pStyle w:val="BodyText"/>
      </w:pPr>
    </w:p>
    <w:p w:rsidR="00000000" w:rsidRPr="00CC212A" w:rsidP="00CC212A">
      <w:pPr>
        <w:pStyle w:val="AllowPageBreak"/>
      </w:pPr>
    </w:p>
    <w:p w:rsidR="00000000" w:rsidRPr="00CC212A" w:rsidP="00CC212A">
      <w:pPr>
        <w:pStyle w:val="Heading1"/>
      </w:pPr>
      <w:bookmarkStart w:id="14" w:name="O_156034"/>
      <w:bookmarkEnd w:id="14"/>
      <w:r w:rsidRPr="00CC212A">
        <w:t>Co-requisite units</w:t>
      </w:r>
    </w:p>
    <w:tbl>
      <w:tblPr>
        <w:tblW w:w="0" w:type="auto"/>
        <w:tblLayout w:type="fixed"/>
        <w:tblCellMar>
          <w:left w:w="62" w:type="dxa"/>
          <w:right w:w="62" w:type="dxa"/>
        </w:tblCellMar>
        <w:tblLook w:val="0000"/>
      </w:tblPr>
      <w:tblGrid>
        <w:gridCol w:w="2641"/>
        <w:gridCol w:w="1322"/>
        <w:gridCol w:w="4559"/>
      </w:tblGrid>
      <w:tr w:rsidTr="007F4F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r w:rsidRPr="00CC21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p>
        </w:tc>
      </w:tr>
      <w:tr w:rsidTr="007F4F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12A">
            <w:pPr>
              <w:pStyle w:val="BodyText"/>
              <w:rPr>
                <w:lang w:val="en-NZ"/>
              </w:rPr>
            </w:pPr>
          </w:p>
        </w:tc>
      </w:tr>
      <w:tr w:rsidTr="007F4F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12A" w:rsidP="00CC212A">
            <w:pPr>
              <w:pStyle w:val="BodyText"/>
            </w:pPr>
          </w:p>
        </w:tc>
      </w:tr>
    </w:tbl>
    <w:p w:rsidR="00000000" w:rsidRPr="00CC212A" w:rsidP="00CC212A">
      <w:pPr>
        <w:pStyle w:val="BodyText"/>
      </w:pPr>
    </w:p>
    <w:p w:rsidR="00000000" w:rsidRPr="00CC212A" w:rsidP="00CC212A"/>
    <w:sectPr w:rsidSect="00CC2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F4F" w:rsidP="007F4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F4F" w:rsidP="00CC2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F4F4F" w:rsidP="00CC21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4F4F" w:rsidP="00CC21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F4F" w:rsidP="007F4F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F4F" w:rsidP="00CC212A">
    <w:pPr>
      <w:pStyle w:val="Header"/>
      <w:framePr w:wrap="around"/>
    </w:pPr>
    <w:r>
      <w:fldChar w:fldCharType="begin"/>
    </w:r>
    <w:r>
      <w:instrText xml:space="preserve"> TITLE   \* MERGEFORMAT </w:instrText>
    </w:r>
    <w:r>
      <w:fldChar w:fldCharType="separate"/>
    </w:r>
    <w:r>
      <w:t>FDFRB3016A Plan and schedule production for retail bakery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4F4F" w:rsidP="00CC21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80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488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12A"/>
    <w:pPr>
      <w:spacing w:before="360" w:after="60"/>
      <w:outlineLvl w:val="0"/>
    </w:pPr>
    <w:rPr>
      <w:sz w:val="32"/>
    </w:rPr>
  </w:style>
  <w:style w:type="paragraph" w:styleId="Heading2">
    <w:name w:val="heading 2"/>
    <w:basedOn w:val="HeadingBase"/>
    <w:next w:val="BodyText"/>
    <w:link w:val="Heading2Char"/>
    <w:qFormat/>
    <w:rsid w:val="00CC212A"/>
    <w:pPr>
      <w:keepLines/>
      <w:spacing w:before="240" w:after="120"/>
      <w:outlineLvl w:val="1"/>
    </w:pPr>
    <w:rPr>
      <w:sz w:val="28"/>
      <w:szCs w:val="40"/>
    </w:rPr>
  </w:style>
  <w:style w:type="paragraph" w:styleId="Heading3">
    <w:name w:val="heading 3"/>
    <w:basedOn w:val="HeadingBase"/>
    <w:next w:val="BodyText"/>
    <w:link w:val="Heading3Char"/>
    <w:qFormat/>
    <w:rsid w:val="00CC212A"/>
    <w:pPr>
      <w:spacing w:before="180" w:after="120"/>
      <w:outlineLvl w:val="2"/>
    </w:pPr>
    <w:rPr>
      <w:spacing w:val="-10"/>
      <w:kern w:val="32"/>
    </w:rPr>
  </w:style>
  <w:style w:type="paragraph" w:styleId="Heading4">
    <w:name w:val="heading 4"/>
    <w:basedOn w:val="HeadingBase"/>
    <w:next w:val="BodyText"/>
    <w:link w:val="Heading4Char"/>
    <w:qFormat/>
    <w:rsid w:val="00CC212A"/>
    <w:pPr>
      <w:spacing w:before="160" w:after="120"/>
      <w:outlineLvl w:val="3"/>
    </w:pPr>
    <w:rPr>
      <w:sz w:val="22"/>
    </w:rPr>
  </w:style>
  <w:style w:type="paragraph" w:styleId="Heading5">
    <w:name w:val="heading 5"/>
    <w:basedOn w:val="HeadingBase"/>
    <w:next w:val="Normal"/>
    <w:link w:val="Heading5Char"/>
    <w:qFormat/>
    <w:rsid w:val="00CC212A"/>
    <w:pPr>
      <w:spacing w:before="80"/>
      <w:outlineLvl w:val="4"/>
    </w:pPr>
    <w:rPr>
      <w:color w:val="918585"/>
      <w:sz w:val="20"/>
    </w:rPr>
  </w:style>
  <w:style w:type="paragraph" w:styleId="Heading6">
    <w:name w:val="heading 6"/>
    <w:basedOn w:val="HeadingBase"/>
    <w:next w:val="Normal"/>
    <w:link w:val="Heading6Char"/>
    <w:qFormat/>
    <w:rsid w:val="00CC212A"/>
    <w:pPr>
      <w:spacing w:before="60"/>
      <w:outlineLvl w:val="5"/>
    </w:pPr>
    <w:rPr>
      <w:color w:val="918585"/>
      <w:sz w:val="20"/>
    </w:rPr>
  </w:style>
  <w:style w:type="paragraph" w:styleId="Heading7">
    <w:name w:val="heading 7"/>
    <w:basedOn w:val="Normal"/>
    <w:next w:val="Normal"/>
    <w:link w:val="Heading7Char"/>
    <w:qFormat/>
    <w:rsid w:val="00CC212A"/>
    <w:pPr>
      <w:ind w:left="720"/>
      <w:outlineLvl w:val="6"/>
    </w:pPr>
    <w:rPr>
      <w:i/>
    </w:rPr>
  </w:style>
  <w:style w:type="paragraph" w:styleId="Heading8">
    <w:name w:val="heading 8"/>
    <w:basedOn w:val="Normal"/>
    <w:next w:val="Normal"/>
    <w:link w:val="Heading8Char"/>
    <w:qFormat/>
    <w:rsid w:val="00CC212A"/>
    <w:pPr>
      <w:ind w:left="720"/>
      <w:outlineLvl w:val="7"/>
    </w:pPr>
    <w:rPr>
      <w:i/>
    </w:rPr>
  </w:style>
  <w:style w:type="paragraph" w:styleId="Heading9">
    <w:name w:val="heading 9"/>
    <w:basedOn w:val="Normal"/>
    <w:next w:val="Normal"/>
    <w:link w:val="Heading9Char"/>
    <w:qFormat/>
    <w:rsid w:val="00CC212A"/>
    <w:pPr>
      <w:ind w:left="720"/>
      <w:outlineLvl w:val="8"/>
    </w:pPr>
    <w:rPr>
      <w:i/>
    </w:rPr>
  </w:style>
  <w:style w:type="character" w:default="1" w:styleId="DefaultParagraphFont">
    <w:name w:val="Default Paragraph Font"/>
    <w:uiPriority w:val="1"/>
    <w:unhideWhenUsed/>
    <w:rsid w:val="00CC2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12A"/>
  </w:style>
  <w:style w:type="character" w:customStyle="1" w:styleId="Heading1Char">
    <w:name w:val="Heading 1 Char"/>
    <w:basedOn w:val="DefaultParagraphFont"/>
    <w:link w:val="Heading1"/>
    <w:rsid w:val="00CC212A"/>
    <w:rPr>
      <w:rFonts w:ascii="Times New Roman" w:eastAsia="Times New Roman" w:hAnsi="Times New Roman" w:cs="Times New Roman"/>
      <w:b/>
      <w:sz w:val="32"/>
      <w:szCs w:val="20"/>
      <w:lang w:eastAsia="en-US"/>
    </w:rPr>
  </w:style>
  <w:style w:type="paragraph" w:styleId="BodyText">
    <w:name w:val="Body Text"/>
    <w:basedOn w:val="Normal"/>
    <w:link w:val="BodyTextChar"/>
    <w:rsid w:val="00CC2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12A"/>
    <w:rPr>
      <w:rFonts w:ascii="Times New Roman" w:eastAsia="Times New Roman" w:hAnsi="Times New Roman" w:cs="Times New Roman"/>
      <w:sz w:val="24"/>
      <w:lang w:val="en-US" w:eastAsia="en-US"/>
    </w:rPr>
  </w:style>
  <w:style w:type="paragraph" w:styleId="Footer">
    <w:name w:val="footer"/>
    <w:basedOn w:val="Normal"/>
    <w:link w:val="FooterChar"/>
    <w:rsid w:val="00CC2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12A"/>
    <w:rPr>
      <w:rFonts w:ascii="Times New Roman" w:eastAsia="Times New Roman" w:hAnsi="Times New Roman" w:cs="Times New Roman"/>
      <w:sz w:val="16"/>
      <w:lang w:val="en-US" w:eastAsia="en-US"/>
    </w:rPr>
  </w:style>
  <w:style w:type="paragraph" w:styleId="List">
    <w:name w:val="List"/>
    <w:basedOn w:val="BodyText"/>
    <w:next w:val="BodyText"/>
    <w:rsid w:val="00CC212A"/>
    <w:pPr>
      <w:tabs>
        <w:tab w:val="left" w:pos="340"/>
      </w:tabs>
      <w:spacing w:before="60" w:after="60"/>
      <w:ind w:left="340" w:hanging="340"/>
    </w:pPr>
  </w:style>
  <w:style w:type="paragraph" w:styleId="ListBullet">
    <w:name w:val="List Bullet"/>
    <w:basedOn w:val="List"/>
    <w:rsid w:val="00CC212A"/>
    <w:pPr>
      <w:numPr>
        <w:numId w:val="12"/>
      </w:numPr>
      <w:tabs>
        <w:tab w:val="clear" w:pos="340"/>
      </w:tabs>
      <w:spacing w:before="40" w:after="40"/>
    </w:pPr>
  </w:style>
  <w:style w:type="character" w:customStyle="1" w:styleId="SpecialBold">
    <w:name w:val="Special Bold"/>
    <w:basedOn w:val="DefaultParagraphFont"/>
    <w:rsid w:val="00CC212A"/>
    <w:rPr>
      <w:b/>
      <w:spacing w:val="0"/>
    </w:rPr>
  </w:style>
  <w:style w:type="paragraph" w:styleId="Header">
    <w:name w:val="header"/>
    <w:basedOn w:val="Normal"/>
    <w:link w:val="HeaderChar"/>
    <w:rsid w:val="00CC2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1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12A"/>
    <w:pPr>
      <w:spacing w:before="240" w:after="120"/>
      <w:outlineLvl w:val="0"/>
    </w:pPr>
    <w:rPr>
      <w:rFonts w:ascii="Times New Roman" w:hAnsi="Times New Roman"/>
      <w:b/>
      <w:sz w:val="28"/>
    </w:rPr>
  </w:style>
  <w:style w:type="paragraph" w:customStyle="1" w:styleId="AllowPageBreak">
    <w:name w:val="AllowPageBreak"/>
    <w:rsid w:val="00CC21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212A"/>
    <w:pPr>
      <w:tabs>
        <w:tab w:val="left" w:pos="680"/>
      </w:tabs>
      <w:spacing w:before="60" w:after="60"/>
      <w:ind w:left="680" w:hanging="340"/>
    </w:pPr>
  </w:style>
  <w:style w:type="character" w:customStyle="1" w:styleId="BoldandItalics">
    <w:name w:val="Bold and Italics"/>
    <w:qFormat/>
    <w:rsid w:val="00CC212A"/>
    <w:rPr>
      <w:b/>
      <w:i/>
      <w:u w:val="none"/>
    </w:rPr>
  </w:style>
  <w:style w:type="character" w:customStyle="1" w:styleId="Heading2Char">
    <w:name w:val="Heading 2 Char"/>
    <w:basedOn w:val="DefaultParagraphFont"/>
    <w:link w:val="Heading2"/>
    <w:rsid w:val="00CC2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1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1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12A"/>
    <w:rPr>
      <w:rFonts w:ascii="Courier New" w:eastAsia="Times New Roman" w:hAnsi="Courier New" w:cs="Times New Roman"/>
      <w:i/>
      <w:szCs w:val="20"/>
      <w:lang w:val="en-US" w:eastAsia="en-US"/>
    </w:rPr>
  </w:style>
  <w:style w:type="paragraph" w:customStyle="1" w:styleId="HeadingBase">
    <w:name w:val="Heading Base"/>
    <w:rsid w:val="00CC2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12A"/>
    <w:pPr>
      <w:tabs>
        <w:tab w:val="right" w:leader="dot" w:pos="9072"/>
      </w:tabs>
      <w:ind w:left="567"/>
    </w:pPr>
    <w:rPr>
      <w:szCs w:val="22"/>
    </w:rPr>
  </w:style>
  <w:style w:type="paragraph" w:customStyle="1" w:styleId="TOCBase">
    <w:name w:val="TOC Base"/>
    <w:rsid w:val="00CC2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12A"/>
    <w:pPr>
      <w:tabs>
        <w:tab w:val="right" w:leader="dot" w:pos="9072"/>
      </w:tabs>
      <w:spacing w:before="40" w:after="40"/>
      <w:ind w:left="284"/>
    </w:pPr>
    <w:rPr>
      <w:rFonts w:ascii="Times New Roman" w:hAnsi="Times New Roman"/>
    </w:rPr>
  </w:style>
  <w:style w:type="paragraph" w:styleId="TOC1">
    <w:name w:val="toc 1"/>
    <w:basedOn w:val="TOCBase"/>
    <w:next w:val="Normal"/>
    <w:rsid w:val="00CC21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12A"/>
    <w:pPr>
      <w:spacing w:before="5040"/>
      <w:jc w:val="center"/>
    </w:pPr>
    <w:rPr>
      <w:sz w:val="48"/>
      <w:szCs w:val="72"/>
      <w:lang w:val="en-US"/>
    </w:rPr>
  </w:style>
  <w:style w:type="character" w:customStyle="1" w:styleId="TitleChar">
    <w:name w:val="Title Char"/>
    <w:basedOn w:val="DefaultParagraphFont"/>
    <w:link w:val="Title"/>
    <w:rsid w:val="00CC2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12A"/>
    <w:pPr>
      <w:tabs>
        <w:tab w:val="left" w:pos="3600"/>
        <w:tab w:val="left" w:pos="3958"/>
      </w:tabs>
    </w:pPr>
  </w:style>
  <w:style w:type="paragraph" w:customStyle="1" w:styleId="Note">
    <w:name w:val="Note"/>
    <w:basedOn w:val="BodyText"/>
    <w:rsid w:val="00CC2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12A"/>
    <w:pPr>
      <w:framePr w:wrap="auto" w:hAnchor="text" w:y="6049"/>
    </w:pPr>
    <w:rPr>
      <w:color w:val="000000"/>
      <w:sz w:val="40"/>
    </w:rPr>
  </w:style>
  <w:style w:type="paragraph" w:customStyle="1" w:styleId="TOCTitle">
    <w:name w:val="TOCTitle"/>
    <w:basedOn w:val="Heading1"/>
    <w:rsid w:val="00CC212A"/>
    <w:pPr>
      <w:spacing w:after="240"/>
      <w:jc w:val="center"/>
      <w:outlineLvl w:val="9"/>
    </w:pPr>
    <w:rPr>
      <w:caps/>
    </w:rPr>
  </w:style>
  <w:style w:type="paragraph" w:customStyle="1" w:styleId="Version">
    <w:name w:val="Version"/>
    <w:rsid w:val="00CC2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12A"/>
    <w:pPr>
      <w:numPr>
        <w:numId w:val="13"/>
      </w:numPr>
      <w:tabs>
        <w:tab w:val="clear" w:pos="680"/>
      </w:tabs>
    </w:pPr>
  </w:style>
  <w:style w:type="paragraph" w:styleId="Index1">
    <w:name w:val="index 1"/>
    <w:basedOn w:val="Normal"/>
    <w:next w:val="Normal"/>
    <w:semiHidden/>
    <w:rsid w:val="00CC212A"/>
    <w:pPr>
      <w:keepNext w:val="0"/>
      <w:tabs>
        <w:tab w:val="right" w:pos="4176"/>
      </w:tabs>
      <w:ind w:left="198" w:hanging="198"/>
    </w:pPr>
    <w:rPr>
      <w:rFonts w:ascii="Garamond" w:hAnsi="Garamond"/>
    </w:rPr>
  </w:style>
  <w:style w:type="paragraph" w:styleId="IndexHeading">
    <w:name w:val="index heading"/>
    <w:basedOn w:val="Normal"/>
    <w:next w:val="Index1"/>
    <w:semiHidden/>
    <w:rsid w:val="00CC212A"/>
    <w:pPr>
      <w:spacing w:before="120" w:after="120"/>
    </w:pPr>
    <w:rPr>
      <w:rFonts w:ascii="Arial" w:hAnsi="Arial"/>
      <w:b/>
      <w:color w:val="918585"/>
      <w:sz w:val="24"/>
    </w:rPr>
  </w:style>
  <w:style w:type="paragraph" w:customStyle="1" w:styleId="Chapter">
    <w:name w:val="Chapter"/>
    <w:basedOn w:val="Normal"/>
    <w:rsid w:val="00CC212A"/>
    <w:pPr>
      <w:spacing w:before="240"/>
    </w:pPr>
    <w:rPr>
      <w:rFonts w:ascii="Times New Roman" w:hAnsi="Times New Roman"/>
      <w:smallCaps/>
      <w:spacing w:val="80"/>
      <w:sz w:val="28"/>
    </w:rPr>
  </w:style>
  <w:style w:type="paragraph" w:customStyle="1" w:styleId="InChapter">
    <w:name w:val="InChapter"/>
    <w:basedOn w:val="Heading3"/>
    <w:rsid w:val="00CC212A"/>
    <w:pPr>
      <w:spacing w:after="240"/>
      <w:outlineLvl w:val="9"/>
    </w:pPr>
    <w:rPr>
      <w:noProof/>
    </w:rPr>
  </w:style>
  <w:style w:type="paragraph" w:styleId="Index2">
    <w:name w:val="index 2"/>
    <w:basedOn w:val="Normal"/>
    <w:next w:val="Normal"/>
    <w:semiHidden/>
    <w:rsid w:val="00CC212A"/>
    <w:pPr>
      <w:tabs>
        <w:tab w:val="right" w:pos="4176"/>
      </w:tabs>
      <w:ind w:left="568" w:hanging="284"/>
    </w:pPr>
    <w:rPr>
      <w:rFonts w:ascii="Garamond" w:hAnsi="Garamond"/>
    </w:rPr>
  </w:style>
  <w:style w:type="paragraph" w:customStyle="1" w:styleId="Byline">
    <w:name w:val="Byline"/>
    <w:rsid w:val="00CC2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12A"/>
    <w:pPr>
      <w:tabs>
        <w:tab w:val="clear" w:pos="3600"/>
        <w:tab w:val="clear" w:pos="3958"/>
      </w:tabs>
      <w:jc w:val="right"/>
    </w:pPr>
  </w:style>
  <w:style w:type="character" w:styleId="Emphasis">
    <w:name w:val="Emphasis"/>
    <w:basedOn w:val="DefaultParagraphFont"/>
    <w:qFormat/>
    <w:rsid w:val="00CC212A"/>
    <w:rPr>
      <w:i/>
    </w:rPr>
  </w:style>
  <w:style w:type="paragraph" w:styleId="Caption">
    <w:name w:val="caption"/>
    <w:basedOn w:val="BodyText"/>
    <w:next w:val="Normal"/>
    <w:qFormat/>
    <w:rsid w:val="00CC212A"/>
    <w:pPr>
      <w:framePr w:w="2268" w:hSpace="181" w:vSpace="181" w:wrap="around" w:vAnchor="text" w:hAnchor="page" w:x="1135" w:y="285" w:anchorLock="1"/>
    </w:pPr>
    <w:rPr>
      <w:i/>
    </w:rPr>
  </w:style>
  <w:style w:type="paragraph" w:customStyle="1" w:styleId="MiniTOCTitle">
    <w:name w:val="MiniTOCTitle"/>
    <w:basedOn w:val="Heading4"/>
    <w:rsid w:val="00CC212A"/>
    <w:pPr>
      <w:spacing w:before="240"/>
      <w:outlineLvl w:val="9"/>
    </w:pPr>
    <w:rPr>
      <w:noProof/>
      <w:sz w:val="24"/>
    </w:rPr>
  </w:style>
  <w:style w:type="paragraph" w:customStyle="1" w:styleId="MiniTOCItem">
    <w:name w:val="MiniTOCItem"/>
    <w:basedOn w:val="ListBullet"/>
    <w:rsid w:val="00CC212A"/>
    <w:pPr>
      <w:numPr>
        <w:numId w:val="0"/>
      </w:numPr>
      <w:tabs>
        <w:tab w:val="right" w:leader="dot" w:pos="6521"/>
      </w:tabs>
      <w:spacing w:before="0" w:after="0"/>
    </w:pPr>
  </w:style>
  <w:style w:type="paragraph" w:customStyle="1" w:styleId="TOFTitle">
    <w:name w:val="TOFTitle"/>
    <w:basedOn w:val="TOCTitle"/>
    <w:rsid w:val="00CC212A"/>
  </w:style>
  <w:style w:type="paragraph" w:styleId="TableofFigures">
    <w:name w:val="table of figures"/>
    <w:basedOn w:val="Normal"/>
    <w:next w:val="Normal"/>
    <w:semiHidden/>
    <w:rsid w:val="00CC212A"/>
    <w:pPr>
      <w:tabs>
        <w:tab w:val="right" w:leader="dot" w:pos="9072"/>
      </w:tabs>
      <w:ind w:left="970" w:hanging="403"/>
    </w:pPr>
    <w:rPr>
      <w:rFonts w:ascii="Times New Roman" w:hAnsi="Times New Roman"/>
      <w:b/>
    </w:rPr>
  </w:style>
  <w:style w:type="paragraph" w:styleId="ListNumber">
    <w:name w:val="List Number"/>
    <w:basedOn w:val="List"/>
    <w:rsid w:val="00CC212A"/>
    <w:pPr>
      <w:numPr>
        <w:numId w:val="10"/>
      </w:numPr>
    </w:pPr>
  </w:style>
  <w:style w:type="character" w:customStyle="1" w:styleId="WingdingSymbols">
    <w:name w:val="Wingding Symbols"/>
    <w:rsid w:val="00CC212A"/>
    <w:rPr>
      <w:rFonts w:ascii="Wingdings" w:hAnsi="Wingdings"/>
    </w:rPr>
  </w:style>
  <w:style w:type="paragraph" w:customStyle="1" w:styleId="TableHeading">
    <w:name w:val="Table Heading"/>
    <w:basedOn w:val="HeadingBase"/>
    <w:rsid w:val="00CC212A"/>
    <w:pPr>
      <w:keepLines/>
      <w:pBdr>
        <w:bottom w:val="single" w:sz="6" w:space="1" w:color="918585"/>
      </w:pBdr>
      <w:spacing w:before="240"/>
    </w:pPr>
  </w:style>
  <w:style w:type="character" w:customStyle="1" w:styleId="HotSpot">
    <w:name w:val="HotSpot"/>
    <w:rsid w:val="00CC212A"/>
    <w:rPr>
      <w:color w:val="0033CC"/>
      <w:u w:val="none"/>
    </w:rPr>
  </w:style>
  <w:style w:type="paragraph" w:customStyle="1" w:styleId="BodyTextRight">
    <w:name w:val="Body Text Right"/>
    <w:basedOn w:val="BodyText"/>
    <w:rsid w:val="00CC212A"/>
    <w:pPr>
      <w:spacing w:before="0" w:after="0"/>
      <w:jc w:val="right"/>
    </w:pPr>
  </w:style>
  <w:style w:type="paragraph" w:styleId="Index3">
    <w:name w:val="index 3"/>
    <w:basedOn w:val="ListNumber2"/>
    <w:next w:val="Normal"/>
    <w:semiHidden/>
    <w:rsid w:val="00CC212A"/>
    <w:pPr>
      <w:numPr>
        <w:numId w:val="0"/>
      </w:numPr>
      <w:tabs>
        <w:tab w:val="right" w:leader="dot" w:pos="4176"/>
      </w:tabs>
    </w:pPr>
  </w:style>
  <w:style w:type="paragraph" w:styleId="ListNumber2">
    <w:name w:val="List Number 2"/>
    <w:basedOn w:val="List2"/>
    <w:rsid w:val="00CC212A"/>
    <w:pPr>
      <w:numPr>
        <w:numId w:val="9"/>
      </w:numPr>
      <w:tabs>
        <w:tab w:val="clear" w:pos="1060"/>
      </w:tabs>
    </w:pPr>
  </w:style>
  <w:style w:type="paragraph" w:customStyle="1" w:styleId="MarginNote">
    <w:name w:val="Margin Note"/>
    <w:basedOn w:val="BodyText"/>
    <w:rsid w:val="00CC2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1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12A"/>
    <w:rPr>
      <w:sz w:val="32"/>
    </w:rPr>
  </w:style>
  <w:style w:type="paragraph" w:customStyle="1" w:styleId="HeadingProcedure">
    <w:name w:val="Heading Procedure"/>
    <w:basedOn w:val="HeadingBase"/>
    <w:next w:val="Normal"/>
    <w:rsid w:val="00CC212A"/>
    <w:pPr>
      <w:tabs>
        <w:tab w:val="left" w:pos="0"/>
      </w:tabs>
      <w:spacing w:before="120" w:after="60"/>
    </w:pPr>
    <w:rPr>
      <w:i/>
      <w:color w:val="918585"/>
      <w:sz w:val="22"/>
    </w:rPr>
  </w:style>
  <w:style w:type="paragraph" w:customStyle="1" w:styleId="TableBodyText">
    <w:name w:val="Table Body Text"/>
    <w:basedOn w:val="BodyText"/>
    <w:rsid w:val="00CC212A"/>
    <w:pPr>
      <w:spacing w:before="60" w:after="60"/>
    </w:pPr>
  </w:style>
  <w:style w:type="paragraph" w:styleId="ListContinue">
    <w:name w:val="List Continue"/>
    <w:basedOn w:val="List"/>
    <w:rsid w:val="00CC212A"/>
    <w:pPr>
      <w:ind w:firstLine="0"/>
    </w:pPr>
  </w:style>
  <w:style w:type="paragraph" w:customStyle="1" w:styleId="ListNote">
    <w:name w:val="List Note"/>
    <w:basedOn w:val="List"/>
    <w:rsid w:val="00CC212A"/>
    <w:pPr>
      <w:pBdr>
        <w:top w:val="single" w:sz="6" w:space="2" w:color="918585"/>
        <w:bottom w:val="single" w:sz="6" w:space="2" w:color="918585"/>
      </w:pBdr>
      <w:tabs>
        <w:tab w:val="left" w:pos="1021"/>
      </w:tabs>
      <w:ind w:firstLine="0"/>
    </w:pPr>
  </w:style>
  <w:style w:type="paragraph" w:customStyle="1" w:styleId="Warning">
    <w:name w:val="Warning"/>
    <w:basedOn w:val="BodyText"/>
    <w:rsid w:val="00CC212A"/>
    <w:pPr>
      <w:shd w:val="clear" w:color="auto" w:fill="D9D9D9"/>
      <w:tabs>
        <w:tab w:val="left" w:pos="992"/>
      </w:tabs>
      <w:ind w:left="119" w:right="119"/>
    </w:pPr>
    <w:rPr>
      <w:sz w:val="20"/>
    </w:rPr>
  </w:style>
  <w:style w:type="paragraph" w:customStyle="1" w:styleId="MarginIcons">
    <w:name w:val="Margin Icons"/>
    <w:basedOn w:val="BodyText"/>
    <w:rsid w:val="00CC2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12A"/>
    <w:rPr>
      <w:rFonts w:ascii="Courier New" w:hAnsi="Courier New"/>
    </w:rPr>
  </w:style>
  <w:style w:type="paragraph" w:customStyle="1" w:styleId="NoteBullet">
    <w:name w:val="Note Bullet"/>
    <w:basedOn w:val="Note"/>
    <w:rsid w:val="00CC212A"/>
    <w:pPr>
      <w:tabs>
        <w:tab w:val="clear" w:pos="680"/>
      </w:tabs>
      <w:spacing w:before="60" w:after="60"/>
    </w:pPr>
  </w:style>
  <w:style w:type="paragraph" w:customStyle="1" w:styleId="SubHeading2">
    <w:name w:val="SubHeading2"/>
    <w:basedOn w:val="HeadingBase"/>
    <w:rsid w:val="00CC212A"/>
    <w:pPr>
      <w:spacing w:before="240" w:after="60"/>
    </w:pPr>
    <w:rPr>
      <w:sz w:val="20"/>
    </w:rPr>
  </w:style>
  <w:style w:type="paragraph" w:customStyle="1" w:styleId="SubHeading1">
    <w:name w:val="SubHeading1"/>
    <w:basedOn w:val="HeadingBase"/>
    <w:rsid w:val="00CC212A"/>
    <w:pPr>
      <w:spacing w:before="240" w:after="60"/>
    </w:pPr>
    <w:rPr>
      <w:color w:val="918585"/>
      <w:sz w:val="22"/>
    </w:rPr>
  </w:style>
  <w:style w:type="paragraph" w:customStyle="1" w:styleId="SideHeading">
    <w:name w:val="Side Heading"/>
    <w:basedOn w:val="HeadingBase"/>
    <w:rsid w:val="00CC2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12A"/>
    <w:pPr>
      <w:tabs>
        <w:tab w:val="num" w:pos="360"/>
      </w:tabs>
    </w:pPr>
  </w:style>
  <w:style w:type="paragraph" w:styleId="PlainText">
    <w:name w:val="Plain Text"/>
    <w:basedOn w:val="Normal"/>
    <w:link w:val="PlainTextChar"/>
    <w:rsid w:val="00CC212A"/>
    <w:rPr>
      <w:sz w:val="20"/>
    </w:rPr>
  </w:style>
  <w:style w:type="character" w:customStyle="1" w:styleId="PlainTextChar">
    <w:name w:val="Plain Text Char"/>
    <w:basedOn w:val="DefaultParagraphFont"/>
    <w:link w:val="PlainText"/>
    <w:rsid w:val="00CC21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12A"/>
    <w:rPr>
      <w:b/>
      <w:smallCaps/>
    </w:rPr>
  </w:style>
  <w:style w:type="paragraph" w:customStyle="1" w:styleId="TableListNumber">
    <w:name w:val="Table List Number"/>
    <w:basedOn w:val="ListNumber"/>
    <w:rsid w:val="00CC212A"/>
    <w:pPr>
      <w:numPr>
        <w:numId w:val="0"/>
      </w:numPr>
    </w:pPr>
  </w:style>
  <w:style w:type="paragraph" w:styleId="TOC4">
    <w:name w:val="toc 4"/>
    <w:basedOn w:val="TOCBase"/>
    <w:next w:val="Normal"/>
    <w:semiHidden/>
    <w:rsid w:val="00CC212A"/>
    <w:pPr>
      <w:tabs>
        <w:tab w:val="right" w:leader="dot" w:pos="9071"/>
      </w:tabs>
      <w:ind w:left="1701"/>
    </w:pPr>
  </w:style>
  <w:style w:type="paragraph" w:customStyle="1" w:styleId="ListAlpha">
    <w:name w:val="List Alpha"/>
    <w:basedOn w:val="List"/>
    <w:rsid w:val="00CC212A"/>
    <w:pPr>
      <w:numPr>
        <w:numId w:val="8"/>
      </w:numPr>
    </w:pPr>
  </w:style>
  <w:style w:type="paragraph" w:customStyle="1" w:styleId="ListAlpha2">
    <w:name w:val="List Alpha 2"/>
    <w:basedOn w:val="List2"/>
    <w:rsid w:val="00CC212A"/>
    <w:pPr>
      <w:numPr>
        <w:numId w:val="7"/>
      </w:numPr>
    </w:pPr>
  </w:style>
  <w:style w:type="paragraph" w:styleId="List3">
    <w:name w:val="List 3"/>
    <w:basedOn w:val="BodyText"/>
    <w:rsid w:val="00CC212A"/>
    <w:pPr>
      <w:tabs>
        <w:tab w:val="left" w:pos="1021"/>
      </w:tabs>
      <w:spacing w:before="60" w:after="60"/>
      <w:ind w:left="1020" w:hanging="340"/>
    </w:pPr>
  </w:style>
  <w:style w:type="paragraph" w:styleId="List4">
    <w:name w:val="List 4"/>
    <w:basedOn w:val="BodyText"/>
    <w:rsid w:val="00CC212A"/>
    <w:pPr>
      <w:tabs>
        <w:tab w:val="left" w:pos="1361"/>
      </w:tabs>
      <w:spacing w:before="60" w:after="60"/>
      <w:ind w:left="1361" w:hanging="340"/>
    </w:pPr>
  </w:style>
  <w:style w:type="paragraph" w:styleId="List5">
    <w:name w:val="List 5"/>
    <w:basedOn w:val="BodyText"/>
    <w:rsid w:val="00CC212A"/>
    <w:pPr>
      <w:tabs>
        <w:tab w:val="left" w:pos="1701"/>
      </w:tabs>
      <w:spacing w:before="60" w:after="60"/>
      <w:ind w:left="1701" w:hanging="340"/>
    </w:pPr>
  </w:style>
  <w:style w:type="paragraph" w:styleId="ListBullet3">
    <w:name w:val="List Bullet 3"/>
    <w:basedOn w:val="List3"/>
    <w:rsid w:val="00CC212A"/>
    <w:pPr>
      <w:numPr>
        <w:numId w:val="14"/>
      </w:numPr>
      <w:tabs>
        <w:tab w:val="clear" w:pos="1021"/>
      </w:tabs>
      <w:ind w:left="1037" w:hanging="357"/>
    </w:pPr>
  </w:style>
  <w:style w:type="paragraph" w:styleId="ListBullet4">
    <w:name w:val="List Bullet 4"/>
    <w:basedOn w:val="List4"/>
    <w:rsid w:val="00CC212A"/>
    <w:pPr>
      <w:numPr>
        <w:numId w:val="2"/>
      </w:numPr>
    </w:pPr>
  </w:style>
  <w:style w:type="paragraph" w:styleId="ListBullet5">
    <w:name w:val="List Bullet 5"/>
    <w:basedOn w:val="List5"/>
    <w:rsid w:val="00CC212A"/>
    <w:pPr>
      <w:numPr>
        <w:numId w:val="3"/>
      </w:numPr>
    </w:pPr>
  </w:style>
  <w:style w:type="paragraph" w:styleId="ListContinue2">
    <w:name w:val="List Continue 2"/>
    <w:basedOn w:val="List2"/>
    <w:rsid w:val="00CC212A"/>
    <w:pPr>
      <w:ind w:firstLine="0"/>
    </w:pPr>
  </w:style>
  <w:style w:type="paragraph" w:styleId="ListContinue3">
    <w:name w:val="List Continue 3"/>
    <w:basedOn w:val="List3"/>
    <w:rsid w:val="00CC212A"/>
    <w:pPr>
      <w:ind w:left="1021" w:firstLine="0"/>
    </w:pPr>
  </w:style>
  <w:style w:type="paragraph" w:styleId="ListContinue4">
    <w:name w:val="List Continue 4"/>
    <w:basedOn w:val="List4"/>
    <w:rsid w:val="00CC212A"/>
    <w:pPr>
      <w:ind w:firstLine="0"/>
    </w:pPr>
  </w:style>
  <w:style w:type="paragraph" w:styleId="ListContinue5">
    <w:name w:val="List Continue 5"/>
    <w:basedOn w:val="List5"/>
    <w:rsid w:val="00CC212A"/>
    <w:pPr>
      <w:ind w:firstLine="0"/>
    </w:pPr>
  </w:style>
  <w:style w:type="paragraph" w:styleId="ListNumber3">
    <w:name w:val="List Number 3"/>
    <w:basedOn w:val="List3"/>
    <w:rsid w:val="00CC212A"/>
    <w:pPr>
      <w:numPr>
        <w:numId w:val="4"/>
      </w:numPr>
    </w:pPr>
  </w:style>
  <w:style w:type="paragraph" w:styleId="ListNumber4">
    <w:name w:val="List Number 4"/>
    <w:basedOn w:val="List4"/>
    <w:rsid w:val="00CC212A"/>
    <w:pPr>
      <w:numPr>
        <w:numId w:val="5"/>
      </w:numPr>
    </w:pPr>
  </w:style>
  <w:style w:type="paragraph" w:styleId="ListNumber5">
    <w:name w:val="List Number 5"/>
    <w:basedOn w:val="List5"/>
    <w:rsid w:val="00CC212A"/>
    <w:pPr>
      <w:numPr>
        <w:numId w:val="6"/>
      </w:numPr>
    </w:pPr>
  </w:style>
  <w:style w:type="paragraph" w:styleId="BlockText">
    <w:name w:val="Block Text"/>
    <w:basedOn w:val="Normal"/>
    <w:rsid w:val="00CC212A"/>
    <w:pPr>
      <w:spacing w:after="120"/>
      <w:ind w:left="1440" w:right="1440"/>
    </w:pPr>
  </w:style>
  <w:style w:type="character" w:customStyle="1" w:styleId="Subscript">
    <w:name w:val="Subscript"/>
    <w:basedOn w:val="DefaultParagraphFont"/>
    <w:rsid w:val="00CC212A"/>
    <w:rPr>
      <w:sz w:val="16"/>
      <w:vertAlign w:val="subscript"/>
    </w:rPr>
  </w:style>
  <w:style w:type="character" w:customStyle="1" w:styleId="Superscript">
    <w:name w:val="Superscript"/>
    <w:basedOn w:val="DefaultParagraphFont"/>
    <w:rsid w:val="00CC212A"/>
    <w:rPr>
      <w:sz w:val="16"/>
      <w:vertAlign w:val="superscript"/>
    </w:rPr>
  </w:style>
  <w:style w:type="character" w:customStyle="1" w:styleId="Symbols">
    <w:name w:val="Symbols"/>
    <w:basedOn w:val="DefaultParagraphFont"/>
    <w:rsid w:val="00CC212A"/>
    <w:rPr>
      <w:rFonts w:ascii="Symbol" w:hAnsi="Symbol"/>
    </w:rPr>
  </w:style>
  <w:style w:type="character" w:customStyle="1" w:styleId="MenuOptions">
    <w:name w:val="Menu Options"/>
    <w:basedOn w:val="DefaultParagraphFont"/>
    <w:rsid w:val="00CC212A"/>
    <w:rPr>
      <w:rFonts w:ascii="Arial Narrow" w:hAnsi="Arial Narrow"/>
      <w:smallCaps/>
    </w:rPr>
  </w:style>
  <w:style w:type="character" w:customStyle="1" w:styleId="Buttons">
    <w:name w:val="Buttons"/>
    <w:basedOn w:val="DefaultParagraphFont"/>
    <w:rsid w:val="00CC212A"/>
    <w:rPr>
      <w:b/>
    </w:rPr>
  </w:style>
  <w:style w:type="character" w:customStyle="1" w:styleId="Underlined">
    <w:name w:val="Underlined"/>
    <w:basedOn w:val="DefaultParagraphFont"/>
    <w:rsid w:val="00CC212A"/>
    <w:rPr>
      <w:u w:val="single"/>
    </w:rPr>
  </w:style>
  <w:style w:type="paragraph" w:customStyle="1" w:styleId="TableBodyTextRight">
    <w:name w:val="Table Body Text Right"/>
    <w:basedOn w:val="TableBodyText"/>
    <w:rsid w:val="00CC212A"/>
    <w:pPr>
      <w:widowControl w:val="0"/>
      <w:autoSpaceDE w:val="0"/>
      <w:autoSpaceDN w:val="0"/>
      <w:adjustRightInd w:val="0"/>
      <w:jc w:val="right"/>
    </w:pPr>
    <w:rPr>
      <w:rFonts w:cs="Arial"/>
      <w:szCs w:val="18"/>
    </w:rPr>
  </w:style>
  <w:style w:type="paragraph" w:customStyle="1" w:styleId="CopyrightText">
    <w:name w:val="Copyright Text"/>
    <w:basedOn w:val="BodyText"/>
    <w:rsid w:val="00CC212A"/>
    <w:rPr>
      <w:sz w:val="18"/>
    </w:rPr>
  </w:style>
  <w:style w:type="paragraph" w:customStyle="1" w:styleId="BodySmallRight">
    <w:name w:val="Body Small Right"/>
    <w:basedOn w:val="BodyTextRight"/>
    <w:rsid w:val="00CC212A"/>
    <w:rPr>
      <w:sz w:val="18"/>
      <w:szCs w:val="18"/>
    </w:rPr>
  </w:style>
  <w:style w:type="paragraph" w:customStyle="1" w:styleId="MarginEdition">
    <w:name w:val="Margin Edition"/>
    <w:basedOn w:val="MarginNote"/>
    <w:rsid w:val="00CC212A"/>
    <w:pPr>
      <w:spacing w:before="0" w:after="0"/>
    </w:pPr>
    <w:rPr>
      <w:rFonts w:ascii="Times New Roman" w:hAnsi="Times New Roman"/>
      <w:color w:val="999999"/>
    </w:rPr>
  </w:style>
  <w:style w:type="paragraph" w:customStyle="1" w:styleId="Spacer">
    <w:name w:val="Spacer"/>
    <w:basedOn w:val="Normal"/>
    <w:rsid w:val="00CC212A"/>
    <w:rPr>
      <w:sz w:val="2"/>
      <w:szCs w:val="2"/>
    </w:rPr>
  </w:style>
  <w:style w:type="character" w:customStyle="1" w:styleId="Small">
    <w:name w:val="Small"/>
    <w:basedOn w:val="DefaultParagraphFont"/>
    <w:rsid w:val="00CC212A"/>
    <w:rPr>
      <w:sz w:val="16"/>
    </w:rPr>
  </w:style>
  <w:style w:type="paragraph" w:customStyle="1" w:styleId="WideTable">
    <w:name w:val="Wide Table"/>
    <w:basedOn w:val="Normal"/>
    <w:rsid w:val="00CC212A"/>
    <w:pPr>
      <w:ind w:left="-1418"/>
    </w:pPr>
    <w:rPr>
      <w:sz w:val="2"/>
      <w:szCs w:val="2"/>
    </w:rPr>
  </w:style>
  <w:style w:type="character" w:styleId="PageNumber">
    <w:name w:val="page number"/>
    <w:basedOn w:val="DefaultParagraphFont"/>
    <w:rsid w:val="00CC212A"/>
  </w:style>
  <w:style w:type="paragraph" w:styleId="Quote">
    <w:name w:val="Quote"/>
    <w:basedOn w:val="Heading1"/>
    <w:link w:val="QuoteChar"/>
    <w:qFormat/>
    <w:rsid w:val="00CC212A"/>
    <w:rPr>
      <w:b w:val="0"/>
      <w:sz w:val="72"/>
      <w:szCs w:val="72"/>
      <w:lang w:val="en-NZ"/>
    </w:rPr>
  </w:style>
  <w:style w:type="character" w:customStyle="1" w:styleId="QuoteChar">
    <w:name w:val="Quote Char"/>
    <w:basedOn w:val="DefaultParagraphFont"/>
    <w:link w:val="Quote"/>
    <w:rsid w:val="00CC2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12A"/>
    <w:pPr>
      <w:pageBreakBefore/>
    </w:pPr>
  </w:style>
  <w:style w:type="paragraph" w:customStyle="1" w:styleId="Border">
    <w:name w:val="Border"/>
    <w:basedOn w:val="Normal"/>
    <w:qFormat/>
    <w:rsid w:val="00CC2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12A"/>
    <w:rPr>
      <w:b/>
      <w:bCs/>
      <w:i/>
      <w:iCs/>
      <w:color w:val="auto"/>
    </w:rPr>
  </w:style>
  <w:style w:type="paragraph" w:styleId="IntenseQuote">
    <w:name w:val="Intense Quote"/>
    <w:basedOn w:val="Normal"/>
    <w:next w:val="Normal"/>
    <w:link w:val="IntenseQuoteChar"/>
    <w:uiPriority w:val="30"/>
    <w:qFormat/>
    <w:rsid w:val="00CC2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1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12A"/>
    <w:rPr>
      <w:smallCaps/>
      <w:color w:val="auto"/>
      <w:u w:val="single"/>
    </w:rPr>
  </w:style>
  <w:style w:type="character" w:styleId="IntenseReference">
    <w:name w:val="Intense Reference"/>
    <w:basedOn w:val="DefaultParagraphFont"/>
    <w:uiPriority w:val="32"/>
    <w:qFormat/>
    <w:rsid w:val="00CC212A"/>
    <w:rPr>
      <w:b/>
      <w:bCs/>
      <w:smallCaps/>
      <w:color w:val="auto"/>
      <w:spacing w:val="5"/>
      <w:u w:val="single"/>
    </w:rPr>
  </w:style>
  <w:style w:type="paragraph" w:customStyle="1" w:styleId="2ColumnHeading">
    <w:name w:val="2Column Heading"/>
    <w:basedOn w:val="BodyText"/>
    <w:qFormat/>
    <w:rsid w:val="00CC212A"/>
    <w:pPr>
      <w:spacing w:after="60"/>
      <w:ind w:left="-2268"/>
    </w:pPr>
    <w:rPr>
      <w:b/>
    </w:rPr>
  </w:style>
  <w:style w:type="paragraph" w:customStyle="1" w:styleId="Heading1TOC">
    <w:name w:val="Heading1 TOC"/>
    <w:basedOn w:val="Normal"/>
    <w:qFormat/>
    <w:rsid w:val="00CC212A"/>
    <w:pPr>
      <w:spacing w:before="240" w:after="120"/>
    </w:pPr>
    <w:rPr>
      <w:rFonts w:ascii="Times New Roman" w:hAnsi="Times New Roman"/>
      <w:b/>
      <w:sz w:val="32"/>
    </w:rPr>
  </w:style>
  <w:style w:type="paragraph" w:customStyle="1" w:styleId="Heading2TOC">
    <w:name w:val="Heading2 TOC"/>
    <w:basedOn w:val="Normal"/>
    <w:qFormat/>
    <w:rsid w:val="00CC212A"/>
    <w:pPr>
      <w:spacing w:before="240" w:after="60"/>
    </w:pPr>
    <w:rPr>
      <w:rFonts w:ascii="Times New Roman" w:hAnsi="Times New Roman"/>
      <w:b/>
      <w:sz w:val="28"/>
    </w:rPr>
  </w:style>
  <w:style w:type="character" w:customStyle="1" w:styleId="Underline">
    <w:name w:val="Underline"/>
    <w:basedOn w:val="DefaultParagraphFont"/>
    <w:qFormat/>
    <w:rsid w:val="00CC212A"/>
    <w:rPr>
      <w:u w:val="single"/>
    </w:rPr>
  </w:style>
  <w:style w:type="paragraph" w:styleId="BalloonText">
    <w:name w:val="Balloon Text"/>
    <w:basedOn w:val="Normal"/>
    <w:link w:val="BalloonTextChar"/>
    <w:rsid w:val="00CC212A"/>
    <w:rPr>
      <w:rFonts w:ascii="Tahoma" w:hAnsi="Tahoma" w:cs="Tahoma"/>
      <w:sz w:val="16"/>
      <w:szCs w:val="16"/>
    </w:rPr>
  </w:style>
  <w:style w:type="character" w:customStyle="1" w:styleId="BalloonTextChar">
    <w:name w:val="Balloon Text Char"/>
    <w:basedOn w:val="DefaultParagraphFont"/>
    <w:link w:val="BalloonText"/>
    <w:rsid w:val="00CC21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1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917</Words>
  <Characters>5624</Characters>
  <Application>Microsoft Office Word</Application>
  <DocSecurity>0</DocSecurity>
  <Lines>203</Lines>
  <Paragraphs>95</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FDFRB3016A Plan and schedule production for retail bakery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2012-05-26T16:06:00Z</dcterms:created>
  <dcterms:modified xsi:type="dcterms:W3CDTF">2012-05-26T16:06:00Z</dcterms:modified>
</cp:coreProperties>
</file>