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F3" w:rsidP="004012F3">
      <w:pPr>
        <w:pStyle w:val="Title"/>
      </w:pPr>
      <w:r>
        <w:fldChar w:fldCharType="begin"/>
      </w:r>
      <w:r>
        <w:instrText xml:space="preserve"> TITLE   \* MERGEFORMAT </w:instrText>
      </w:r>
      <w:r>
        <w:fldChar w:fldCharType="separate"/>
      </w:r>
      <w:r>
        <w:t>FDFPH4002A Facilitate and monitor Good Manufacturing Practice</w:t>
      </w:r>
      <w:r>
        <w:fldChar w:fldCharType="end"/>
      </w:r>
    </w:p>
    <w:p w:rsidR="004012F3" w:rsidP="004012F3">
      <w:pPr>
        <w:pStyle w:val="Version"/>
        <w:sectPr w:rsidSect="00070C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0C55" w:rsidP="00070C55">
      <w:pPr>
        <w:pStyle w:val="SuperHeading"/>
      </w:pPr>
      <w:r w:rsidRPr="00070C55">
        <w:t>FDFPH4002A Facilitate and monitor Good Manufacturing Practice</w:t>
      </w:r>
    </w:p>
    <w:p w:rsidR="00000000" w:rsidRPr="00070C55" w:rsidP="00070C55">
      <w:pPr>
        <w:pStyle w:val="SuperHeading"/>
      </w:pPr>
    </w:p>
    <w:p w:rsidR="00000000" w:rsidRPr="00070C55" w:rsidP="00070C55">
      <w:pPr>
        <w:pStyle w:val="Heading1"/>
      </w:pPr>
      <w:bookmarkStart w:id="1" w:name="O_76107"/>
      <w:bookmarkEnd w:id="1"/>
      <w:r w:rsidRPr="00070C55">
        <w:t>Modification History</w:t>
      </w:r>
    </w:p>
    <w:p w:rsidR="00000000" w:rsidRPr="00070C55" w:rsidP="00070C55">
      <w:pPr>
        <w:pStyle w:val="BodyText"/>
      </w:pPr>
      <w:r w:rsidRPr="00070C55">
        <w:t>Not applicable.</w:t>
      </w:r>
    </w:p>
    <w:p w:rsidR="00000000" w:rsidRPr="00070C55" w:rsidP="00070C55">
      <w:pPr>
        <w:pStyle w:val="AllowPageBreak"/>
      </w:pPr>
    </w:p>
    <w:p w:rsidR="00000000" w:rsidRPr="00070C55" w:rsidP="00070C55">
      <w:pPr>
        <w:pStyle w:val="Heading1"/>
      </w:pPr>
      <w:bookmarkStart w:id="2" w:name="O_76108"/>
      <w:bookmarkEnd w:id="2"/>
      <w:r w:rsidRPr="00070C55">
        <w:t>Unit Descriptor</w:t>
      </w:r>
    </w:p>
    <w:tbl>
      <w:tblPr>
        <w:tblW w:w="0" w:type="auto"/>
        <w:tblLayout w:type="fixed"/>
        <w:tblCellMar>
          <w:left w:w="62" w:type="dxa"/>
          <w:right w:w="62" w:type="dxa"/>
        </w:tblCellMar>
        <w:tblLook w:val="0000"/>
      </w:tblPr>
      <w:tblGrid>
        <w:gridCol w:w="2648"/>
        <w:gridCol w:w="5874"/>
      </w:tblGrid>
      <w:tr w:rsidTr="004012F3">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This unit of competency targets content outlined in Chapter 4 of the Australian Code of Goo</w:t>
            </w:r>
            <w:r w:rsidRPr="00070C55">
              <w:t xml:space="preserve">d Manufacturing Practice for Medicinal Products and should be read in conjunction with this document. It covers the skills and knowledge required to facilitate and monitor Good Manufacturing Practice (GMP) in a production/packaging work area. </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3" w:name="O_76109"/>
      <w:bookmarkEnd w:id="3"/>
      <w:r w:rsidRPr="00070C55">
        <w:t>Application of the Unit</w:t>
      </w:r>
    </w:p>
    <w:tbl>
      <w:tblPr>
        <w:tblW w:w="0" w:type="auto"/>
        <w:tblLayout w:type="fixed"/>
        <w:tblCellMar>
          <w:left w:w="62" w:type="dxa"/>
          <w:right w:w="62" w:type="dxa"/>
        </w:tblCellMar>
        <w:tblLook w:val="0000"/>
      </w:tblPr>
      <w:tblGrid>
        <w:gridCol w:w="2745"/>
        <w:gridCol w:w="5777"/>
      </w:tblGrid>
      <w:tr w:rsidTr="004012F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This unit applies to people working in supervisory or line management production/packaging roles. This person would typically work within defined GMP programs and procedures. They contribute to the dev</w:t>
            </w:r>
            <w:r w:rsidRPr="00070C55">
              <w:t>elopment of these programs as a team member and are responsible to oversee implementation in their work area.</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4" w:name="O_76110"/>
      <w:bookmarkEnd w:id="4"/>
      <w:r w:rsidRPr="00070C55">
        <w:t>Licensing/Regulatory Information</w:t>
      </w:r>
    </w:p>
    <w:p w:rsidR="00000000" w:rsidRPr="00070C55" w:rsidP="00070C55">
      <w:pPr>
        <w:pStyle w:val="BodyText"/>
      </w:pPr>
      <w:r w:rsidRPr="00070C55">
        <w:t>Not applicable.</w:t>
      </w:r>
    </w:p>
    <w:p w:rsidR="00000000" w:rsidRPr="00070C55" w:rsidP="00070C55">
      <w:pPr>
        <w:pStyle w:val="AllowPageBreak"/>
      </w:pPr>
    </w:p>
    <w:p w:rsidR="00000000" w:rsidRPr="00070C55" w:rsidP="00070C55">
      <w:pPr>
        <w:pStyle w:val="Heading1"/>
      </w:pPr>
      <w:bookmarkStart w:id="5" w:name="O_76111"/>
      <w:bookmarkEnd w:id="5"/>
      <w:r w:rsidRPr="00070C55">
        <w:t>Pre-Requisites</w:t>
      </w:r>
    </w:p>
    <w:tbl>
      <w:tblPr>
        <w:tblW w:w="0" w:type="auto"/>
        <w:tblLayout w:type="fixed"/>
        <w:tblCellMar>
          <w:left w:w="62" w:type="dxa"/>
          <w:right w:w="62" w:type="dxa"/>
        </w:tblCellMar>
        <w:tblLook w:val="0000"/>
      </w:tblPr>
      <w:tblGrid>
        <w:gridCol w:w="2775"/>
        <w:gridCol w:w="1295"/>
        <w:gridCol w:w="4452"/>
      </w:tblGrid>
      <w:tr w:rsidTr="004012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p>
        </w:tc>
      </w:tr>
      <w:tr w:rsidTr="004012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p>
        </w:tc>
      </w:tr>
      <w:tr w:rsidTr="004012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6" w:name="O_76112"/>
      <w:bookmarkEnd w:id="6"/>
      <w:r w:rsidRPr="00070C55">
        <w:t>Employability Skills Information</w:t>
      </w:r>
    </w:p>
    <w:tbl>
      <w:tblPr>
        <w:tblW w:w="0" w:type="auto"/>
        <w:tblLayout w:type="fixed"/>
        <w:tblCellMar>
          <w:left w:w="62" w:type="dxa"/>
          <w:right w:w="62" w:type="dxa"/>
        </w:tblCellMar>
        <w:tblLook w:val="0000"/>
      </w:tblPr>
      <w:tblGrid>
        <w:gridCol w:w="2802"/>
        <w:gridCol w:w="5720"/>
      </w:tblGrid>
      <w:tr w:rsidTr="004012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 xml:space="preserve">This unit contains employability skills.  </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7" w:name="O_76113"/>
      <w:bookmarkEnd w:id="7"/>
      <w:r w:rsidRPr="00070C55">
        <w:t>Elements and Performance Criteria Pre-Content</w:t>
      </w:r>
    </w:p>
    <w:tbl>
      <w:tblPr>
        <w:tblW w:w="0" w:type="auto"/>
        <w:tblLayout w:type="fixed"/>
        <w:tblCellMar>
          <w:left w:w="62" w:type="dxa"/>
          <w:right w:w="62" w:type="dxa"/>
        </w:tblCellMar>
        <w:tblLook w:val="0000"/>
      </w:tblPr>
      <w:tblGrid>
        <w:gridCol w:w="2569"/>
        <w:gridCol w:w="5953"/>
      </w:tblGrid>
      <w:tr w:rsidTr="004012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Performance criteria describe the performance needed to demonstrate achievement of the element. Where bold italicised text is used, further information is detailed in the required skills and knowledge section and the range statement. Assessment of performa</w:t>
            </w:r>
            <w:r w:rsidRPr="00070C55">
              <w:t>nce is to be consistent with the evidence guide.</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8" w:name="O_76114"/>
      <w:bookmarkEnd w:id="8"/>
      <w:r w:rsidRPr="00070C55">
        <w:t>Elements and Performance Criteria</w:t>
      </w:r>
    </w:p>
    <w:tbl>
      <w:tblPr>
        <w:tblW w:w="0" w:type="auto"/>
        <w:tblLayout w:type="fixed"/>
        <w:tblCellMar>
          <w:left w:w="62" w:type="dxa"/>
          <w:right w:w="62" w:type="dxa"/>
        </w:tblCellMar>
        <w:tblLook w:val="0000"/>
      </w:tblPr>
      <w:tblGrid>
        <w:gridCol w:w="2569"/>
        <w:gridCol w:w="5953"/>
      </w:tblGrid>
      <w:tr w:rsidTr="004012F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PERFORMANCE CRITERIA</w:t>
            </w:r>
          </w:p>
        </w:tc>
      </w:tr>
      <w:tr w:rsidTr="004012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List"/>
              <w:rPr>
                <w:lang w:val="en-NZ"/>
              </w:rPr>
            </w:pPr>
            <w:r w:rsidRPr="00070C55">
              <w:t>1.</w:t>
            </w:r>
            <w:r w:rsidRPr="00070C55">
              <w:tab/>
              <w:t>Prepare to meet GMP requirements in the work area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List2"/>
            </w:pPr>
            <w:r w:rsidRPr="00070C55">
              <w:t>1.1.</w:t>
            </w:r>
            <w:r w:rsidRPr="00070C55">
              <w:tab/>
              <w:t>Regulations</w:t>
            </w:r>
            <w:r w:rsidRPr="00070C55">
              <w:t>, codes and guides relevant to the work area are identified</w:t>
            </w:r>
          </w:p>
          <w:p w:rsidR="00000000" w:rsidRPr="00070C55" w:rsidP="00070C55">
            <w:pPr>
              <w:pStyle w:val="List2"/>
            </w:pPr>
            <w:r w:rsidRPr="00070C55">
              <w:t>1.2.</w:t>
            </w:r>
            <w:r w:rsidRPr="00070C55">
              <w:tab/>
              <w:t>Workplace documentation relevant to work area activities is identified and reviewed to confirm that GMP requirements are met</w:t>
            </w:r>
          </w:p>
          <w:p w:rsidR="00000000" w:rsidRPr="00070C55" w:rsidP="00070C55">
            <w:pPr>
              <w:pStyle w:val="List2"/>
            </w:pPr>
            <w:r w:rsidRPr="00070C55">
              <w:t>1.3.</w:t>
            </w:r>
            <w:r w:rsidRPr="00070C55">
              <w:tab/>
              <w:t>The required facilities, materials, storage, equipment and pe</w:t>
            </w:r>
            <w:r w:rsidRPr="00070C55">
              <w:t>rsonnel are confirmed and available</w:t>
            </w:r>
          </w:p>
          <w:p w:rsidR="00000000" w:rsidRPr="00070C55" w:rsidP="00070C55">
            <w:pPr>
              <w:pStyle w:val="List2"/>
            </w:pPr>
            <w:r w:rsidRPr="00070C55">
              <w:t>1.4.</w:t>
            </w:r>
            <w:r w:rsidRPr="00070C55">
              <w:tab/>
              <w:t>Operators who have the required competence to perform production/packaging activities to company and GMP standards are identified</w:t>
            </w:r>
          </w:p>
          <w:p w:rsidR="00000000" w:rsidRPr="00070C55" w:rsidP="00070C55">
            <w:pPr>
              <w:pStyle w:val="List2"/>
            </w:pPr>
            <w:r w:rsidRPr="00070C55">
              <w:t>1.5.</w:t>
            </w:r>
            <w:r w:rsidRPr="00070C55">
              <w:tab/>
              <w:t>Line clearance procedures are carried out</w:t>
            </w:r>
          </w:p>
          <w:p w:rsidR="00000000" w:rsidRPr="00070C55" w:rsidP="00070C55">
            <w:pPr>
              <w:pStyle w:val="List2"/>
            </w:pPr>
            <w:r w:rsidRPr="00070C55">
              <w:t>1.6.</w:t>
            </w:r>
            <w:r w:rsidRPr="00070C55">
              <w:tab/>
              <w:t xml:space="preserve">Critical processes are validated </w:t>
            </w:r>
            <w:r w:rsidRPr="00070C55">
              <w:t>according to validation requirements</w:t>
            </w:r>
          </w:p>
          <w:p w:rsidR="00000000" w:rsidP="00070C55">
            <w:pPr>
              <w:pStyle w:val="List2"/>
              <w:rPr>
                <w:lang w:val="en-NZ"/>
              </w:rPr>
            </w:pPr>
            <w:r w:rsidRPr="00070C55">
              <w:t>1.7.</w:t>
            </w:r>
            <w:r w:rsidRPr="00070C55">
              <w:tab/>
              <w:t>Procedures to eliminate or control the risk of cross-contamination are followed</w:t>
            </w:r>
          </w:p>
        </w:tc>
      </w:tr>
      <w:tr w:rsidTr="004012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List"/>
              <w:rPr>
                <w:lang w:val="en-NZ"/>
              </w:rPr>
            </w:pPr>
            <w:r w:rsidRPr="00070C55">
              <w:t>2.</w:t>
            </w:r>
            <w:r w:rsidRPr="00070C55">
              <w:tab/>
              <w:t>Monitor the observance of GMP in the work area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List2"/>
            </w:pPr>
            <w:r w:rsidRPr="00070C55">
              <w:t>2.1.</w:t>
            </w:r>
            <w:r w:rsidRPr="00070C55">
              <w:tab/>
              <w:t xml:space="preserve">Work practices conform to GMP requirements </w:t>
            </w:r>
          </w:p>
          <w:p w:rsidR="00000000" w:rsidRPr="00070C55" w:rsidP="00070C55">
            <w:pPr>
              <w:pStyle w:val="List2"/>
            </w:pPr>
            <w:r w:rsidRPr="00070C55">
              <w:t>2.2.</w:t>
            </w:r>
            <w:r w:rsidRPr="00070C55">
              <w:tab/>
              <w:t xml:space="preserve">In-process and environmental </w:t>
            </w:r>
            <w:r w:rsidRPr="00070C55">
              <w:t>monitoring is carried out and recorded as required by GMP</w:t>
            </w:r>
          </w:p>
          <w:p w:rsidR="00000000" w:rsidRPr="00070C55" w:rsidP="00070C55">
            <w:pPr>
              <w:pStyle w:val="List2"/>
            </w:pPr>
            <w:r w:rsidRPr="00070C55">
              <w:t>2.3.</w:t>
            </w:r>
            <w:r w:rsidRPr="00070C55">
              <w:tab/>
              <w:t>Personal hygiene and conduct of personnel in the work area meets GMP requirements</w:t>
            </w:r>
          </w:p>
          <w:p w:rsidR="00000000" w:rsidRPr="00070C55" w:rsidP="00070C55">
            <w:pPr>
              <w:pStyle w:val="List2"/>
            </w:pPr>
            <w:r w:rsidRPr="00070C55">
              <w:t>2.4.</w:t>
            </w:r>
            <w:r w:rsidRPr="00070C55">
              <w:tab/>
              <w:t>Personnel movement between work areas complies with entry and exit procedures</w:t>
            </w:r>
          </w:p>
          <w:p w:rsidR="00000000" w:rsidP="00070C55">
            <w:pPr>
              <w:pStyle w:val="List2"/>
              <w:rPr>
                <w:lang w:val="en-NZ"/>
              </w:rPr>
            </w:pPr>
            <w:r w:rsidRPr="00070C55">
              <w:t>2.5.</w:t>
            </w:r>
            <w:r w:rsidRPr="00070C55">
              <w:tab/>
            </w:r>
            <w:r w:rsidRPr="00070C55">
              <w:t>GMP-related data is recorded to meet workplace reporting requirements</w:t>
            </w:r>
          </w:p>
        </w:tc>
      </w:tr>
      <w:tr w:rsidTr="004012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List"/>
              <w:rPr>
                <w:lang w:val="en-NZ"/>
              </w:rPr>
            </w:pPr>
            <w:r w:rsidRPr="00070C55">
              <w:t>3.</w:t>
            </w:r>
            <w:r w:rsidRPr="00070C55">
              <w:tab/>
              <w:t>Respond to failures or non-conformances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List2"/>
            </w:pPr>
            <w:r w:rsidRPr="00070C55">
              <w:t>3.1.</w:t>
            </w:r>
            <w:r w:rsidRPr="00070C55">
              <w:tab/>
              <w:t>The scope of failures or non-conformances are defined</w:t>
            </w:r>
          </w:p>
          <w:p w:rsidR="00000000" w:rsidRPr="00070C55" w:rsidP="00070C55">
            <w:pPr>
              <w:pStyle w:val="List2"/>
            </w:pPr>
            <w:r w:rsidRPr="00070C55">
              <w:t>3.2.</w:t>
            </w:r>
            <w:r w:rsidRPr="00070C55">
              <w:tab/>
              <w:t>Procedures to follow in the event of a failure are documented</w:t>
            </w:r>
          </w:p>
          <w:p w:rsidR="00000000" w:rsidRPr="00070C55" w:rsidP="00070C55">
            <w:pPr>
              <w:pStyle w:val="List2"/>
            </w:pPr>
            <w:r w:rsidRPr="00070C55">
              <w:t>3.3.</w:t>
            </w:r>
            <w:r w:rsidRPr="00070C55">
              <w:tab/>
              <w:t>Failures ar</w:t>
            </w:r>
            <w:r w:rsidRPr="00070C55">
              <w:t>e investigated to determine root causes</w:t>
            </w:r>
          </w:p>
          <w:p w:rsidR="00000000" w:rsidRPr="00070C55" w:rsidP="00070C55">
            <w:pPr>
              <w:pStyle w:val="List2"/>
            </w:pPr>
            <w:r w:rsidRPr="00070C55">
              <w:t>3.4.</w:t>
            </w:r>
            <w:r w:rsidRPr="00070C55">
              <w:tab/>
              <w:t>Risk assessment is conducted</w:t>
            </w:r>
          </w:p>
          <w:p w:rsidR="00000000" w:rsidRPr="00070C55" w:rsidP="00070C55">
            <w:pPr>
              <w:pStyle w:val="List2"/>
            </w:pPr>
            <w:r w:rsidRPr="00070C55">
              <w:t>3.5.</w:t>
            </w:r>
            <w:r w:rsidRPr="00070C55">
              <w:tab/>
              <w:t>Findings are reported to meet GMP requirements</w:t>
            </w:r>
          </w:p>
          <w:p w:rsidR="00000000" w:rsidP="00070C55">
            <w:pPr>
              <w:pStyle w:val="List2"/>
              <w:rPr>
                <w:lang w:val="en-NZ"/>
              </w:rPr>
            </w:pPr>
            <w:r w:rsidRPr="00070C55">
              <w:t>3.6.</w:t>
            </w:r>
            <w:r w:rsidRPr="00070C55">
              <w:tab/>
              <w:t>Procedures are followed to implement and monitor corrective and preventative action</w:t>
            </w:r>
          </w:p>
        </w:tc>
      </w:tr>
      <w:tr w:rsidTr="004012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List"/>
              <w:rPr>
                <w:lang w:val="en-NZ"/>
              </w:rPr>
            </w:pPr>
            <w:r w:rsidRPr="00070C55">
              <w:t>4.</w:t>
            </w:r>
            <w:r w:rsidRPr="00070C55">
              <w:tab/>
              <w:t>Complete work to meet GMP requirement</w:t>
            </w:r>
            <w:r w:rsidRPr="00070C55">
              <w: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List2"/>
            </w:pPr>
            <w:r w:rsidRPr="00070C55">
              <w:t>4.1.</w:t>
            </w:r>
            <w:r w:rsidRPr="00070C55">
              <w:tab/>
              <w:t>Processes are reviewed to ensure all procedures are complete</w:t>
            </w:r>
          </w:p>
          <w:p w:rsidR="00000000" w:rsidRPr="00070C55" w:rsidP="00070C55">
            <w:pPr>
              <w:pStyle w:val="List2"/>
            </w:pPr>
            <w:r w:rsidRPr="00070C55">
              <w:t>4.2.</w:t>
            </w:r>
            <w:r w:rsidRPr="00070C55">
              <w:tab/>
              <w:t>Line logs are reviewed to ensure documentation is complete</w:t>
            </w:r>
          </w:p>
          <w:p w:rsidR="00000000" w:rsidRPr="00070C55" w:rsidP="00070C55">
            <w:pPr>
              <w:pStyle w:val="List2"/>
            </w:pPr>
            <w:r w:rsidRPr="00070C55">
              <w:t>4.3.</w:t>
            </w:r>
            <w:r w:rsidRPr="00070C55">
              <w:tab/>
              <w:t>End-of-batch procedures are followed</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9" w:name="O_76115"/>
      <w:bookmarkEnd w:id="9"/>
      <w:r w:rsidRPr="00070C55">
        <w:t>Required Skills and Knowledge</w:t>
      </w:r>
    </w:p>
    <w:tbl>
      <w:tblPr>
        <w:tblW w:w="0" w:type="auto"/>
        <w:tblLayout w:type="fixed"/>
        <w:tblCellMar>
          <w:left w:w="62" w:type="dxa"/>
          <w:right w:w="62" w:type="dxa"/>
        </w:tblCellMar>
        <w:tblLook w:val="0000"/>
      </w:tblPr>
      <w:tblGrid>
        <w:gridCol w:w="8522"/>
      </w:tblGrid>
      <w:tr w:rsidTr="004012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REQUIRED SKILLS AND KNOWLEDGE</w:t>
            </w:r>
          </w:p>
        </w:tc>
      </w:tr>
      <w:tr w:rsidTr="004012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t>This section describes the skills and knowledge required for this unit.</w:t>
            </w:r>
          </w:p>
        </w:tc>
      </w:tr>
      <w:tr w:rsidTr="00401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Required skills</w:t>
            </w:r>
          </w:p>
        </w:tc>
      </w:tr>
      <w:tr w:rsidTr="00401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rPr>
                <w:rStyle w:val="BoldandItalics"/>
              </w:rPr>
              <w:t>Ability to</w:t>
            </w:r>
            <w:r w:rsidRPr="00070C55">
              <w:t>:</w:t>
            </w:r>
          </w:p>
          <w:p w:rsidR="00000000" w:rsidRPr="00070C55" w:rsidP="00070C55">
            <w:pPr>
              <w:pStyle w:val="ListBullet"/>
            </w:pPr>
            <w:r w:rsidRPr="00070C55">
              <w:t>locate regulations, codes, guides and internal company documentation relevant to GMP and products/processes used in the work area</w:t>
            </w:r>
          </w:p>
          <w:p w:rsidR="00000000" w:rsidRPr="00070C55" w:rsidP="00070C55">
            <w:pPr>
              <w:pStyle w:val="ListBullet"/>
            </w:pPr>
            <w:r w:rsidRPr="00070C55">
              <w:t>use communication and document management systems to access and review relevant documents</w:t>
            </w:r>
          </w:p>
          <w:p w:rsidR="00000000" w:rsidRPr="00070C55" w:rsidP="00070C55">
            <w:pPr>
              <w:pStyle w:val="ListBullet"/>
            </w:pPr>
            <w:r w:rsidRPr="00070C55">
              <w:t xml:space="preserve">ensure that operators have the </w:t>
            </w:r>
          </w:p>
          <w:p w:rsidR="00000000" w:rsidRPr="00070C55" w:rsidP="00070C55">
            <w:pPr>
              <w:pStyle w:val="ListBullet"/>
            </w:pPr>
            <w:r w:rsidRPr="00070C55">
              <w:t xml:space="preserve">use communication skills to interpret and complete work information to support operations of work team or area </w:t>
            </w:r>
          </w:p>
          <w:p w:rsidR="00000000" w:rsidP="00070C55">
            <w:pPr>
              <w:pStyle w:val="ListBullet"/>
              <w:rPr>
                <w:lang w:val="en-NZ"/>
              </w:rPr>
            </w:pPr>
            <w:r w:rsidRPr="00070C55">
              <w:t>demonstrate and suppor</w:t>
            </w:r>
            <w:r w:rsidRPr="00070C55">
              <w:t>t cooperative work practices within a culturally diverse workforce</w:t>
            </w:r>
          </w:p>
        </w:tc>
      </w:tr>
      <w:tr w:rsidTr="00401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Required knowledge</w:t>
            </w:r>
          </w:p>
        </w:tc>
      </w:tr>
      <w:tr w:rsidTr="00401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rPr>
                <w:rStyle w:val="BoldandItalics"/>
              </w:rPr>
              <w:t>Knowledge of</w:t>
            </w:r>
            <w:r w:rsidRPr="00070C55">
              <w:t>:</w:t>
            </w:r>
          </w:p>
          <w:p w:rsidR="00000000" w:rsidRPr="00070C55" w:rsidP="00070C55">
            <w:pPr>
              <w:pStyle w:val="ListBullet"/>
            </w:pPr>
            <w:r w:rsidRPr="00070C55">
              <w:t>legislative framework and structure, including the role of regulations, codes and guides</w:t>
            </w:r>
          </w:p>
          <w:p w:rsidR="00000000" w:rsidRPr="00070C55" w:rsidP="00070C55">
            <w:pPr>
              <w:pStyle w:val="ListBullet"/>
            </w:pPr>
            <w:r w:rsidRPr="00070C55">
              <w:t>corporate and personal responsibility and liability for maintain</w:t>
            </w:r>
            <w:r w:rsidRPr="00070C55">
              <w:t xml:space="preserve">ing GMP in the workplace </w:t>
            </w:r>
          </w:p>
          <w:p w:rsidR="00000000" w:rsidRPr="00070C55" w:rsidP="00070C55">
            <w:pPr>
              <w:pStyle w:val="ListBullet"/>
            </w:pPr>
            <w:r w:rsidRPr="00070C55">
              <w:t>the Pharmaceutical Inspection Co-operation Scheme (PICS) and related cross-recognition agreements</w:t>
            </w:r>
          </w:p>
          <w:p w:rsidR="00000000" w:rsidRPr="00070C55" w:rsidP="00070C55">
            <w:pPr>
              <w:pStyle w:val="ListBullet"/>
            </w:pPr>
            <w:r w:rsidRPr="00070C55">
              <w:t>the content covered by the Therapeutic Goods Act, relevant codes and guides</w:t>
            </w:r>
          </w:p>
          <w:p w:rsidR="00000000" w:rsidRPr="00070C55" w:rsidP="00070C55">
            <w:pPr>
              <w:pStyle w:val="ListBullet"/>
            </w:pPr>
            <w:r w:rsidRPr="00070C55">
              <w:t>sources of technical advice on test methods and critical</w:t>
            </w:r>
            <w:r w:rsidRPr="00070C55">
              <w:t xml:space="preserve"> limits</w:t>
            </w:r>
          </w:p>
          <w:p w:rsidR="00000000" w:rsidRPr="00070C55" w:rsidP="00070C55">
            <w:pPr>
              <w:pStyle w:val="ListBullet"/>
            </w:pPr>
            <w:r w:rsidRPr="00070C55">
              <w:t>regulatory mechanisms including audit processes</w:t>
            </w:r>
          </w:p>
          <w:p w:rsidR="00000000" w:rsidRPr="00070C55" w:rsidP="00070C55">
            <w:pPr>
              <w:pStyle w:val="ListBullet"/>
            </w:pPr>
            <w:r w:rsidRPr="00070C55">
              <w:t>the principles of quality management, quality assurance and quality control and the role of these activities in supporting GMP</w:t>
            </w:r>
          </w:p>
          <w:p w:rsidR="00000000" w:rsidRPr="00070C55" w:rsidP="00070C55">
            <w:pPr>
              <w:pStyle w:val="ListBullet"/>
            </w:pPr>
            <w:r w:rsidRPr="00070C55">
              <w:t>principles of risk management and related procedures</w:t>
            </w:r>
          </w:p>
          <w:p w:rsidR="00000000" w:rsidRPr="00070C55" w:rsidP="00070C55">
            <w:pPr>
              <w:pStyle w:val="ListBullet"/>
            </w:pPr>
            <w:r w:rsidRPr="00070C55">
              <w:t>system for raising and managing corrective and preventative actions</w:t>
            </w:r>
          </w:p>
          <w:p w:rsidR="00000000" w:rsidRPr="00070C55" w:rsidP="00070C55">
            <w:pPr>
              <w:pStyle w:val="ListBullet"/>
            </w:pPr>
            <w:r w:rsidRPr="00070C55">
              <w:t>specific requirements to be met by manufacturing and/or packaging activities in the work area to meet GMP requirements</w:t>
            </w:r>
          </w:p>
          <w:p w:rsidR="00000000" w:rsidRPr="00070C55" w:rsidP="00070C55">
            <w:pPr>
              <w:pStyle w:val="ListBullet"/>
            </w:pPr>
            <w:r w:rsidRPr="00070C55">
              <w:t>calibration programs and responsibilities</w:t>
            </w:r>
          </w:p>
          <w:p w:rsidR="00000000" w:rsidRPr="00070C55" w:rsidP="00070C55">
            <w:pPr>
              <w:pStyle w:val="ListBullet"/>
            </w:pPr>
            <w:r w:rsidRPr="00070C55">
              <w:t xml:space="preserve">procedures for reconciling </w:t>
            </w:r>
            <w:r w:rsidRPr="00070C55">
              <w:t>materials and consumables and investigating discrepancies</w:t>
            </w:r>
          </w:p>
          <w:p w:rsidR="00000000" w:rsidRPr="00070C55" w:rsidP="00070C55">
            <w:pPr>
              <w:pStyle w:val="ListBullet"/>
            </w:pPr>
            <w:r w:rsidRPr="00070C55">
              <w:t>training system, including assessment methods and documentation</w:t>
            </w:r>
          </w:p>
          <w:p w:rsidR="00000000" w:rsidRPr="00070C55" w:rsidP="00070C55">
            <w:pPr>
              <w:pStyle w:val="ListBullet"/>
            </w:pPr>
            <w:r w:rsidRPr="00070C55">
              <w:t>purpose, procedure and responsibility for specific systems, programs and procedures to support GMP</w:t>
            </w:r>
          </w:p>
          <w:p w:rsidR="00000000" w:rsidRPr="00070C55" w:rsidP="00070C55">
            <w:pPr>
              <w:pStyle w:val="ListBullet"/>
            </w:pPr>
            <w:r w:rsidRPr="00070C55">
              <w:t>root cause analysis techniques</w:t>
            </w:r>
          </w:p>
          <w:p w:rsidR="00000000" w:rsidRPr="00070C55" w:rsidP="00070C55">
            <w:pPr>
              <w:pStyle w:val="ListBullet"/>
            </w:pPr>
            <w:r w:rsidRPr="00070C55">
              <w:t>work</w:t>
            </w:r>
            <w:r w:rsidRPr="00070C55">
              <w:t>place documentation and authorisation procedures</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10" w:name="O_76116"/>
      <w:bookmarkEnd w:id="10"/>
      <w:r w:rsidRPr="00070C55">
        <w:t>Evidence Guide</w:t>
      </w:r>
    </w:p>
    <w:tbl>
      <w:tblPr>
        <w:tblW w:w="9570" w:type="dxa"/>
        <w:tblLayout w:type="fixed"/>
        <w:tblCellMar>
          <w:left w:w="62" w:type="dxa"/>
          <w:right w:w="62" w:type="dxa"/>
        </w:tblCellMar>
        <w:tblLook w:val="0000"/>
      </w:tblPr>
      <w:tblGrid>
        <w:gridCol w:w="3908"/>
        <w:gridCol w:w="5662"/>
      </w:tblGrid>
      <w:tr w:rsidTr="004012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EVIDENCE GUIDE</w:t>
            </w:r>
          </w:p>
        </w:tc>
      </w:tr>
      <w:tr w:rsidTr="004012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t xml:space="preserve">The Evidence Guide provides advice on assessment and must be read in conjunction with the performance criteria, required skills and knowledge, </w:t>
            </w:r>
            <w:r w:rsidRPr="00070C55">
              <w:t>range statement and the Assessment Guidelines for the Training Package.</w:t>
            </w:r>
          </w:p>
        </w:tc>
      </w:tr>
      <w:tr w:rsidTr="00401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t>Assessment may occur in a real or simulated pharmaceutical or complementary medicine manufacturing workplace where the assessment environment provides access t</w:t>
            </w:r>
            <w:r w:rsidRPr="00070C55">
              <w:t>o workplace documentation and document management systems related to GMP that are typical of commercial manufacturing businesses and meet the requirements of the Therapeutic Goods Act. It will also provide a range of commercial production/packaging equipme</w:t>
            </w:r>
            <w:r w:rsidRPr="00070C55">
              <w:t>nt and activities typically used in a commercial manufacturing environment.</w:t>
            </w:r>
          </w:p>
        </w:tc>
      </w:tr>
      <w:tr w:rsidTr="00401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Evidence of participation in a project team to develop or review systems and procedure</w:t>
            </w:r>
            <w:r w:rsidRPr="00070C55">
              <w:t>s to support GMP in a work area. This includes providing evidence that the candidate:</w:t>
            </w:r>
          </w:p>
          <w:p w:rsidR="00000000" w:rsidRPr="00070C55" w:rsidP="00070C55">
            <w:pPr>
              <w:pStyle w:val="ListBullet"/>
            </w:pPr>
            <w:r w:rsidRPr="00070C55">
              <w:t>provides documented evidence through use of workplace documentation and records to show that the work preparation, processing and completion meet GMP requirements</w:t>
            </w:r>
          </w:p>
          <w:p w:rsidR="00000000" w:rsidP="00070C55">
            <w:pPr>
              <w:pStyle w:val="ListBullet"/>
              <w:rPr>
                <w:lang w:val="en-NZ"/>
              </w:rPr>
            </w:pPr>
            <w:r w:rsidRPr="00070C55">
              <w:t>leads response to a failure or non-conformance in the work area. This must include conducting risk assessment, analysing root cause analysis, identifying corrective and preventive action and monitoring implementation. This aspect of assessment may be under</w:t>
            </w:r>
            <w:r w:rsidRPr="00070C55">
              <w:t>taken as part of a team.</w:t>
            </w:r>
          </w:p>
        </w:tc>
      </w:tr>
      <w:tr w:rsidTr="00401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Assessors must be satisfied that the person can consistently perform the unit as a whole, including all elements, performance criteria, and required skills and knowledge. A holistic</w:t>
            </w:r>
            <w:r w:rsidRPr="00070C55">
              <w:t xml:space="preserve"> approach should be taken to the assessment.</w:t>
            </w:r>
          </w:p>
          <w:p w:rsidR="00000000" w:rsidP="00070C55">
            <w:pPr>
              <w:pStyle w:val="BodyText"/>
              <w:rPr>
                <w:lang w:val="en-NZ"/>
              </w:rPr>
            </w:pPr>
            <w:r w:rsidRPr="00070C55">
              <w:t>Assessment of this unit would typically involve responding to 'what if' scenarios, answering questions and conducting workplace projects.</w:t>
            </w:r>
          </w:p>
        </w:tc>
      </w:tr>
      <w:tr w:rsidTr="00401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This unit is a core requirement for all pharmaceuti</w:t>
            </w:r>
            <w:r w:rsidRPr="00070C55">
              <w:t>cal operators at AQF 4 and 5. It could be assessed concurrently with other units relating to problem solving and process improvement. Examples could be:</w:t>
            </w:r>
          </w:p>
          <w:p w:rsidR="00000000" w:rsidRPr="00070C55" w:rsidP="00070C55">
            <w:pPr>
              <w:pStyle w:val="ListBullet"/>
            </w:pPr>
            <w:r w:rsidRPr="00070C55">
              <w:t xml:space="preserve">FDFOP2015A Apply principles of statistical process control </w:t>
            </w:r>
          </w:p>
          <w:p w:rsidR="00000000" w:rsidRPr="00070C55" w:rsidP="00070C55">
            <w:pPr>
              <w:pStyle w:val="ListBullet"/>
            </w:pPr>
            <w:r w:rsidRPr="00070C55">
              <w:t>FDFPH4001A Prepare and review workplace do</w:t>
            </w:r>
            <w:r w:rsidRPr="00070C55">
              <w:t>cumentation to support Good Manufacturing Practice</w:t>
            </w:r>
          </w:p>
          <w:p w:rsidR="00000000" w:rsidRPr="00070C55" w:rsidP="00070C55">
            <w:pPr>
              <w:pStyle w:val="ListBullet"/>
            </w:pPr>
            <w:r w:rsidRPr="00070C55">
              <w:t xml:space="preserve">FDFPH4003A Facilitate contamination control </w:t>
            </w:r>
          </w:p>
          <w:p w:rsidR="00000000" w:rsidRPr="00070C55" w:rsidP="00070C55">
            <w:pPr>
              <w:pStyle w:val="ListBullet"/>
            </w:pPr>
            <w:r w:rsidRPr="00070C55">
              <w:t>FDFPH4004A Participate in change control procedures</w:t>
            </w:r>
          </w:p>
          <w:p w:rsidR="00000000" w:rsidRPr="00070C55" w:rsidP="00070C55">
            <w:pPr>
              <w:pStyle w:val="ListBullet"/>
            </w:pPr>
            <w:r w:rsidRPr="00070C55">
              <w:t>FDFPH4005A Participate in validation processes</w:t>
            </w:r>
          </w:p>
          <w:p w:rsidR="00000000" w:rsidP="00070C55">
            <w:pPr>
              <w:pStyle w:val="ListBullet"/>
              <w:rPr>
                <w:lang w:val="en-NZ"/>
              </w:rPr>
            </w:pPr>
            <w:r w:rsidRPr="00070C55">
              <w:t>MSACMT450A Undertake process capability improvements.</w:t>
            </w:r>
          </w:p>
        </w:tc>
      </w:tr>
      <w:tr w:rsidTr="004012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 xml:space="preserve">To ensure consistency in one's performance, competency should be demonstrated on more than one occasion over a period of time in order to cover a variety of circumstances, cases and responsibilities, and where possible, </w:t>
            </w:r>
            <w:r w:rsidRPr="00070C55">
              <w:t>over a number of assessment activities.</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11" w:name="O_76117"/>
      <w:bookmarkEnd w:id="11"/>
      <w:r w:rsidRPr="00070C55">
        <w:t>Range Statement</w:t>
      </w:r>
    </w:p>
    <w:tbl>
      <w:tblPr>
        <w:tblW w:w="0" w:type="auto"/>
        <w:tblLayout w:type="fixed"/>
        <w:tblCellMar>
          <w:left w:w="62" w:type="dxa"/>
          <w:right w:w="62" w:type="dxa"/>
        </w:tblCellMar>
        <w:tblLook w:val="0000"/>
      </w:tblPr>
      <w:tblGrid>
        <w:gridCol w:w="3526"/>
        <w:gridCol w:w="4996"/>
      </w:tblGrid>
      <w:tr w:rsidTr="004012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RANGE STATEMENT</w:t>
            </w:r>
          </w:p>
        </w:tc>
      </w:tr>
      <w:tr w:rsidTr="004012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t>The range statement relates to the unit of competency as a whole. It allows for different work environments and situations that may affect performance. Bold italicis</w:t>
            </w:r>
            <w:r w:rsidRPr="00070C55">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070C55">
              <w:t>regional contexts) may also be included.</w:t>
            </w:r>
          </w:p>
        </w:tc>
      </w:tr>
      <w:tr w:rsidTr="004012F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Regulations</w:t>
            </w:r>
            <w:r w:rsidRPr="00070C55">
              <w:t xml:space="preserve">, </w:t>
            </w:r>
            <w:r w:rsidRPr="00070C55">
              <w:rPr>
                <w:rStyle w:val="SpecialBold"/>
              </w:rPr>
              <w:t>codes and guides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Relevant regulations, codes and guides include:</w:t>
            </w:r>
          </w:p>
          <w:p w:rsidR="00000000" w:rsidRPr="00070C55" w:rsidP="00070C55">
            <w:pPr>
              <w:pStyle w:val="ListBullet"/>
            </w:pPr>
            <w:r w:rsidRPr="00070C55">
              <w:t>Therapeutic Goods Act</w:t>
            </w:r>
          </w:p>
          <w:p w:rsidR="00000000" w:rsidRPr="00070C55" w:rsidP="00070C55">
            <w:pPr>
              <w:pStyle w:val="ListBullet"/>
            </w:pPr>
            <w:r w:rsidRPr="00070C55">
              <w:t>Therapeutic Goods Regulations</w:t>
            </w:r>
          </w:p>
          <w:p w:rsidR="00000000" w:rsidRPr="00070C55" w:rsidP="00070C55">
            <w:pPr>
              <w:pStyle w:val="ListBullet"/>
            </w:pPr>
            <w:r w:rsidRPr="00070C55">
              <w:t xml:space="preserve">Australian Code of Good Manufacturing Practice for Medicinal Products </w:t>
            </w:r>
          </w:p>
          <w:p w:rsidR="00000000" w:rsidRPr="00070C55" w:rsidP="00070C55">
            <w:pPr>
              <w:pStyle w:val="ListBullet"/>
            </w:pPr>
            <w:r w:rsidRPr="00070C55">
              <w:t>Therapeutic Goods Act guides to interpretation of legal requirements</w:t>
            </w:r>
          </w:p>
          <w:p w:rsidR="00000000" w:rsidRPr="00070C55" w:rsidP="00070C55">
            <w:pPr>
              <w:pStyle w:val="ListBullet"/>
            </w:pPr>
            <w:r w:rsidRPr="00070C55">
              <w:t>regulations, codes and guides related to other relevant international legislation (appropriate to product and market)</w:t>
            </w:r>
          </w:p>
          <w:p w:rsidR="00000000" w:rsidP="00070C55">
            <w:pPr>
              <w:pStyle w:val="ListBullet"/>
              <w:rPr>
                <w:lang w:val="en-NZ"/>
              </w:rPr>
            </w:pPr>
            <w:r w:rsidRPr="00070C55">
              <w:t>company policies and guidelines</w:t>
            </w:r>
          </w:p>
        </w:tc>
      </w:tr>
      <w:tr w:rsidTr="004012F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Workplace documentation relevant to work area activities includes:</w:t>
            </w:r>
          </w:p>
          <w:p w:rsidR="00000000" w:rsidRPr="00070C55" w:rsidP="00070C55">
            <w:pPr>
              <w:pStyle w:val="ListBullet"/>
            </w:pPr>
            <w:r w:rsidRPr="00070C55">
              <w:t>company policies and guidelines</w:t>
            </w:r>
          </w:p>
          <w:p w:rsidR="00000000" w:rsidRPr="00070C55" w:rsidP="00070C55">
            <w:pPr>
              <w:pStyle w:val="ListBullet"/>
            </w:pPr>
            <w:r w:rsidRPr="00070C55">
              <w:t>specifications</w:t>
            </w:r>
          </w:p>
          <w:p w:rsidR="00000000" w:rsidRPr="00070C55" w:rsidP="00070C55">
            <w:pPr>
              <w:pStyle w:val="ListBullet"/>
            </w:pPr>
            <w:r w:rsidRPr="00070C55">
              <w:t xml:space="preserve">manufacturing formulae </w:t>
            </w:r>
          </w:p>
          <w:p w:rsidR="00000000" w:rsidRPr="00070C55" w:rsidP="00070C55">
            <w:pPr>
              <w:pStyle w:val="ListBullet"/>
            </w:pPr>
            <w:r w:rsidRPr="00070C55">
              <w:t>processing and packaging instructions</w:t>
            </w:r>
          </w:p>
          <w:p w:rsidR="00000000" w:rsidRPr="00070C55" w:rsidP="00070C55">
            <w:pPr>
              <w:pStyle w:val="ListBullet"/>
            </w:pPr>
            <w:r w:rsidRPr="00070C55">
              <w:t xml:space="preserve">batch production and packaging records </w:t>
            </w:r>
          </w:p>
          <w:p w:rsidR="00000000" w:rsidRPr="00070C55" w:rsidP="00070C55">
            <w:pPr>
              <w:pStyle w:val="ListBullet"/>
            </w:pPr>
            <w:r w:rsidRPr="00070C55">
              <w:t>standard operating procedures (SOPs)</w:t>
            </w:r>
          </w:p>
          <w:p w:rsidR="00000000" w:rsidP="00070C55">
            <w:pPr>
              <w:pStyle w:val="ListBullet"/>
              <w:rPr>
                <w:lang w:val="en-NZ"/>
              </w:rPr>
            </w:pPr>
            <w:r w:rsidRPr="00070C55">
              <w:t>oc</w:t>
            </w:r>
            <w:r w:rsidRPr="00070C55">
              <w:t>cupational health and safety (OHS) information, including material safety data sheets (MSDS)</w:t>
            </w:r>
          </w:p>
        </w:tc>
      </w:tr>
      <w:tr w:rsidTr="004012F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Work practices</w:t>
            </w:r>
            <w:r w:rsidRPr="00070C55">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Work is carried out according to:</w:t>
            </w:r>
          </w:p>
          <w:p w:rsidR="00000000" w:rsidRPr="00070C55" w:rsidP="00070C55">
            <w:pPr>
              <w:pStyle w:val="ListBullet"/>
            </w:pPr>
            <w:r w:rsidRPr="00070C55">
              <w:t>company policies and procedures</w:t>
            </w:r>
          </w:p>
          <w:p w:rsidR="00000000" w:rsidP="00070C55">
            <w:pPr>
              <w:pStyle w:val="ListBullet"/>
              <w:rPr>
                <w:lang w:val="en-NZ"/>
              </w:rPr>
            </w:pPr>
            <w:r w:rsidRPr="00070C55">
              <w:t>legislative and licensing requirements, including therapeutic goods legislation</w:t>
            </w:r>
            <w:r w:rsidRPr="00070C55">
              <w:t>, weights and measures and legislation relating to OHS, environmental management, equal opportunity and affirmative action, industrial awards and agreements</w:t>
            </w:r>
          </w:p>
        </w:tc>
      </w:tr>
      <w:tr w:rsidTr="004012F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Sources of technical advice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Sources of technical advice include but are not limited to:</w:t>
            </w:r>
          </w:p>
          <w:p w:rsidR="00000000" w:rsidRPr="00070C55" w:rsidP="00070C55">
            <w:pPr>
              <w:pStyle w:val="ListBullet"/>
            </w:pPr>
            <w:r w:rsidRPr="00070C55">
              <w:t>Therapeutic Goods Administration</w:t>
            </w:r>
          </w:p>
          <w:p w:rsidR="00000000" w:rsidRPr="00070C55" w:rsidP="00070C55">
            <w:pPr>
              <w:pStyle w:val="ListBullet"/>
            </w:pPr>
            <w:r w:rsidRPr="00070C55">
              <w:t>British Pharmacopeia</w:t>
            </w:r>
          </w:p>
          <w:p w:rsidR="00000000" w:rsidRPr="00070C55" w:rsidP="00070C55">
            <w:pPr>
              <w:pStyle w:val="ListBullet"/>
            </w:pPr>
            <w:r w:rsidRPr="00070C55">
              <w:t>European Pharmacopeia</w:t>
            </w:r>
          </w:p>
          <w:p w:rsidR="00000000" w:rsidP="00070C55">
            <w:pPr>
              <w:pStyle w:val="ListBullet"/>
              <w:rPr>
                <w:lang w:val="en-NZ"/>
              </w:rPr>
            </w:pPr>
            <w:r w:rsidRPr="00070C55">
              <w:t>US Pharmacopeia</w:t>
            </w:r>
          </w:p>
        </w:tc>
      </w:tr>
      <w:tr w:rsidTr="004012F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Systems</w:t>
            </w:r>
            <w:r w:rsidRPr="00070C55">
              <w:t xml:space="preserve">, </w:t>
            </w:r>
            <w:r w:rsidRPr="00070C55">
              <w:rPr>
                <w:rStyle w:val="SpecialBold"/>
              </w:rPr>
              <w:t>programs and procedures to support GMP</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Systems, programs and procedures to support GMP includes but is not limited to:</w:t>
            </w:r>
          </w:p>
          <w:p w:rsidR="00000000" w:rsidRPr="00070C55" w:rsidP="00070C55">
            <w:pPr>
              <w:pStyle w:val="ListBullet"/>
            </w:pPr>
            <w:r w:rsidRPr="00070C55">
              <w:t>line clearance</w:t>
            </w:r>
          </w:p>
          <w:p w:rsidR="00000000" w:rsidRPr="00070C55" w:rsidP="00070C55">
            <w:pPr>
              <w:pStyle w:val="ListBullet"/>
            </w:pPr>
            <w:r w:rsidRPr="00070C55">
              <w:t>cleaning and sanita</w:t>
            </w:r>
            <w:r w:rsidRPr="00070C55">
              <w:t>tion</w:t>
            </w:r>
          </w:p>
          <w:p w:rsidR="00000000" w:rsidRPr="00070C55" w:rsidP="00070C55">
            <w:pPr>
              <w:pStyle w:val="ListBullet"/>
            </w:pPr>
            <w:r w:rsidRPr="00070C55">
              <w:t>process control</w:t>
            </w:r>
          </w:p>
          <w:p w:rsidR="00000000" w:rsidRPr="00070C55" w:rsidP="00070C55">
            <w:pPr>
              <w:pStyle w:val="ListBullet"/>
            </w:pPr>
            <w:r w:rsidRPr="00070C55">
              <w:t>control of cross-contamination</w:t>
            </w:r>
          </w:p>
          <w:p w:rsidR="00000000" w:rsidRPr="00070C55" w:rsidP="00070C55">
            <w:pPr>
              <w:pStyle w:val="ListBullet"/>
            </w:pPr>
            <w:r w:rsidRPr="00070C55">
              <w:t>failure investigation</w:t>
            </w:r>
          </w:p>
          <w:p w:rsidR="00000000" w:rsidRPr="00070C55" w:rsidP="00070C55">
            <w:pPr>
              <w:pStyle w:val="ListBullet"/>
            </w:pPr>
            <w:r w:rsidRPr="00070C55">
              <w:t>change control</w:t>
            </w:r>
          </w:p>
          <w:p w:rsidR="00000000" w:rsidRPr="00070C55" w:rsidP="00070C55">
            <w:pPr>
              <w:pStyle w:val="ListBullet"/>
            </w:pPr>
            <w:r w:rsidRPr="00070C55">
              <w:t>validation</w:t>
            </w:r>
          </w:p>
          <w:p w:rsidR="00000000" w:rsidRPr="00070C55" w:rsidP="00070C55">
            <w:pPr>
              <w:pStyle w:val="ListBullet"/>
            </w:pPr>
            <w:r w:rsidRPr="00070C55">
              <w:t>record keeping and documentation management</w:t>
            </w:r>
          </w:p>
          <w:p w:rsidR="00000000" w:rsidRPr="00070C55" w:rsidP="00070C55">
            <w:pPr>
              <w:pStyle w:val="ListBullet"/>
            </w:pPr>
            <w:r w:rsidRPr="00070C55">
              <w:t>release for sale</w:t>
            </w:r>
          </w:p>
          <w:p w:rsidR="00000000" w:rsidRPr="00070C55" w:rsidP="00070C55">
            <w:pPr>
              <w:pStyle w:val="ListBullet"/>
            </w:pPr>
            <w:r w:rsidRPr="00070C55">
              <w:t>internal audits</w:t>
            </w:r>
          </w:p>
        </w:tc>
      </w:tr>
    </w:tbl>
    <w:p w:rsidR="004012F3" w:rsidP="00070C55">
      <w:pPr>
        <w:pStyle w:val="BodyText"/>
      </w:pPr>
    </w:p>
    <w:p w:rsidR="004012F3" w:rsidP="00070C55">
      <w:pPr>
        <w:pStyle w:val="BodyText"/>
      </w:pPr>
    </w:p>
    <w:p w:rsidR="00000000" w:rsidRPr="00070C55" w:rsidP="00070C55">
      <w:pPr>
        <w:pStyle w:val="Heading1"/>
      </w:pPr>
      <w:bookmarkStart w:id="12" w:name="O_76118"/>
      <w:bookmarkEnd w:id="12"/>
      <w:r w:rsidRPr="00070C55">
        <w:t>Unit Sector(s)</w:t>
      </w:r>
    </w:p>
    <w:tbl>
      <w:tblPr>
        <w:tblW w:w="0" w:type="auto"/>
        <w:tblLayout w:type="fixed"/>
        <w:tblCellMar>
          <w:left w:w="62" w:type="dxa"/>
          <w:right w:w="62" w:type="dxa"/>
        </w:tblCellMar>
        <w:tblLook w:val="0000"/>
      </w:tblPr>
      <w:tblGrid>
        <w:gridCol w:w="2592"/>
        <w:gridCol w:w="5930"/>
      </w:tblGrid>
      <w:tr w:rsidTr="004012F3">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r w:rsidRPr="00070C55">
              <w:t>Pharmaceutical manufacturing</w:t>
            </w: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13" w:name="O_155927"/>
      <w:bookmarkEnd w:id="13"/>
      <w:r w:rsidRPr="00070C55">
        <w:t>Competency field</w:t>
      </w:r>
    </w:p>
    <w:tbl>
      <w:tblPr>
        <w:tblW w:w="0" w:type="auto"/>
        <w:tblLayout w:type="fixed"/>
        <w:tblCellMar>
          <w:left w:w="62" w:type="dxa"/>
          <w:right w:w="62" w:type="dxa"/>
        </w:tblCellMar>
        <w:tblLook w:val="0000"/>
      </w:tblPr>
      <w:tblGrid>
        <w:gridCol w:w="2784"/>
        <w:gridCol w:w="5738"/>
      </w:tblGrid>
      <w:tr w:rsidTr="004012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p>
        </w:tc>
      </w:tr>
    </w:tbl>
    <w:p w:rsidR="00000000" w:rsidRPr="00070C55" w:rsidP="00070C55">
      <w:pPr>
        <w:pStyle w:val="BodyText"/>
      </w:pPr>
    </w:p>
    <w:p w:rsidR="00000000" w:rsidRPr="00070C55" w:rsidP="00070C55">
      <w:pPr>
        <w:pStyle w:val="AllowPageBreak"/>
      </w:pPr>
    </w:p>
    <w:p w:rsidR="00000000" w:rsidRPr="00070C55" w:rsidP="00070C55">
      <w:pPr>
        <w:pStyle w:val="Heading1"/>
      </w:pPr>
      <w:bookmarkStart w:id="14" w:name="O_155926"/>
      <w:bookmarkEnd w:id="14"/>
      <w:r w:rsidRPr="00070C55">
        <w:t>Co-requisite units</w:t>
      </w:r>
    </w:p>
    <w:tbl>
      <w:tblPr>
        <w:tblW w:w="0" w:type="auto"/>
        <w:tblLayout w:type="fixed"/>
        <w:tblCellMar>
          <w:left w:w="62" w:type="dxa"/>
          <w:right w:w="62" w:type="dxa"/>
        </w:tblCellMar>
        <w:tblLook w:val="0000"/>
      </w:tblPr>
      <w:tblGrid>
        <w:gridCol w:w="2641"/>
        <w:gridCol w:w="1322"/>
        <w:gridCol w:w="4559"/>
      </w:tblGrid>
      <w:tr w:rsidTr="004012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r w:rsidRPr="00070C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p>
        </w:tc>
      </w:tr>
      <w:tr w:rsidTr="004012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55">
            <w:pPr>
              <w:pStyle w:val="BodyText"/>
              <w:rPr>
                <w:lang w:val="en-NZ"/>
              </w:rPr>
            </w:pPr>
          </w:p>
        </w:tc>
      </w:tr>
      <w:tr w:rsidTr="004012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55" w:rsidP="00070C55">
            <w:pPr>
              <w:pStyle w:val="BodyText"/>
            </w:pPr>
          </w:p>
        </w:tc>
      </w:tr>
    </w:tbl>
    <w:p w:rsidR="00000000" w:rsidRPr="00070C55" w:rsidP="00070C55">
      <w:pPr>
        <w:pStyle w:val="BodyText"/>
      </w:pPr>
    </w:p>
    <w:p w:rsidR="00000000" w:rsidRPr="00070C55" w:rsidP="00070C55"/>
    <w:sectPr w:rsidSect="00070C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2F3" w:rsidP="00401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F3" w:rsidP="00070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12F3" w:rsidP="00070C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12F3" w:rsidP="00070C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2F3" w:rsidP="004012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F3" w:rsidP="00070C55">
    <w:pPr>
      <w:pStyle w:val="Header"/>
      <w:framePr w:wrap="around"/>
    </w:pPr>
    <w:r>
      <w:fldChar w:fldCharType="begin"/>
    </w:r>
    <w:r>
      <w:instrText xml:space="preserve"> TITLE   \* MERGEFORMAT </w:instrText>
    </w:r>
    <w:r>
      <w:fldChar w:fldCharType="separate"/>
    </w:r>
    <w:r>
      <w:t>FDFPH4002A Facilitate and monitor Good Manufacturing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12F3" w:rsidP="00070C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0BD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FE6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C55"/>
    <w:pPr>
      <w:spacing w:before="360" w:after="60"/>
      <w:outlineLvl w:val="0"/>
    </w:pPr>
    <w:rPr>
      <w:sz w:val="32"/>
    </w:rPr>
  </w:style>
  <w:style w:type="paragraph" w:styleId="Heading2">
    <w:name w:val="heading 2"/>
    <w:basedOn w:val="HeadingBase"/>
    <w:next w:val="BodyText"/>
    <w:link w:val="Heading2Char"/>
    <w:qFormat/>
    <w:rsid w:val="00070C55"/>
    <w:pPr>
      <w:keepLines/>
      <w:spacing w:before="240" w:after="120"/>
      <w:outlineLvl w:val="1"/>
    </w:pPr>
    <w:rPr>
      <w:sz w:val="28"/>
      <w:szCs w:val="40"/>
    </w:rPr>
  </w:style>
  <w:style w:type="paragraph" w:styleId="Heading3">
    <w:name w:val="heading 3"/>
    <w:basedOn w:val="HeadingBase"/>
    <w:next w:val="BodyText"/>
    <w:link w:val="Heading3Char"/>
    <w:qFormat/>
    <w:rsid w:val="00070C55"/>
    <w:pPr>
      <w:spacing w:before="180" w:after="120"/>
      <w:outlineLvl w:val="2"/>
    </w:pPr>
    <w:rPr>
      <w:spacing w:val="-10"/>
      <w:kern w:val="32"/>
    </w:rPr>
  </w:style>
  <w:style w:type="paragraph" w:styleId="Heading4">
    <w:name w:val="heading 4"/>
    <w:basedOn w:val="HeadingBase"/>
    <w:next w:val="BodyText"/>
    <w:link w:val="Heading4Char"/>
    <w:qFormat/>
    <w:rsid w:val="00070C55"/>
    <w:pPr>
      <w:spacing w:before="160" w:after="120"/>
      <w:outlineLvl w:val="3"/>
    </w:pPr>
    <w:rPr>
      <w:sz w:val="22"/>
    </w:rPr>
  </w:style>
  <w:style w:type="paragraph" w:styleId="Heading5">
    <w:name w:val="heading 5"/>
    <w:basedOn w:val="HeadingBase"/>
    <w:next w:val="Normal"/>
    <w:link w:val="Heading5Char"/>
    <w:qFormat/>
    <w:rsid w:val="00070C55"/>
    <w:pPr>
      <w:spacing w:before="80"/>
      <w:outlineLvl w:val="4"/>
    </w:pPr>
    <w:rPr>
      <w:color w:val="918585"/>
      <w:sz w:val="20"/>
    </w:rPr>
  </w:style>
  <w:style w:type="paragraph" w:styleId="Heading6">
    <w:name w:val="heading 6"/>
    <w:basedOn w:val="HeadingBase"/>
    <w:next w:val="Normal"/>
    <w:link w:val="Heading6Char"/>
    <w:qFormat/>
    <w:rsid w:val="00070C55"/>
    <w:pPr>
      <w:spacing w:before="60"/>
      <w:outlineLvl w:val="5"/>
    </w:pPr>
    <w:rPr>
      <w:color w:val="918585"/>
      <w:sz w:val="20"/>
    </w:rPr>
  </w:style>
  <w:style w:type="paragraph" w:styleId="Heading7">
    <w:name w:val="heading 7"/>
    <w:basedOn w:val="Normal"/>
    <w:next w:val="Normal"/>
    <w:link w:val="Heading7Char"/>
    <w:qFormat/>
    <w:rsid w:val="00070C55"/>
    <w:pPr>
      <w:ind w:left="720"/>
      <w:outlineLvl w:val="6"/>
    </w:pPr>
    <w:rPr>
      <w:i/>
    </w:rPr>
  </w:style>
  <w:style w:type="paragraph" w:styleId="Heading8">
    <w:name w:val="heading 8"/>
    <w:basedOn w:val="Normal"/>
    <w:next w:val="Normal"/>
    <w:link w:val="Heading8Char"/>
    <w:qFormat/>
    <w:rsid w:val="00070C55"/>
    <w:pPr>
      <w:ind w:left="720"/>
      <w:outlineLvl w:val="7"/>
    </w:pPr>
    <w:rPr>
      <w:i/>
    </w:rPr>
  </w:style>
  <w:style w:type="paragraph" w:styleId="Heading9">
    <w:name w:val="heading 9"/>
    <w:basedOn w:val="Normal"/>
    <w:next w:val="Normal"/>
    <w:link w:val="Heading9Char"/>
    <w:qFormat/>
    <w:rsid w:val="00070C55"/>
    <w:pPr>
      <w:ind w:left="720"/>
      <w:outlineLvl w:val="8"/>
    </w:pPr>
    <w:rPr>
      <w:i/>
    </w:rPr>
  </w:style>
  <w:style w:type="character" w:default="1" w:styleId="DefaultParagraphFont">
    <w:name w:val="Default Paragraph Font"/>
    <w:uiPriority w:val="1"/>
    <w:unhideWhenUsed/>
    <w:rsid w:val="00070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55"/>
  </w:style>
  <w:style w:type="character" w:customStyle="1" w:styleId="Heading1Char">
    <w:name w:val="Heading 1 Char"/>
    <w:basedOn w:val="DefaultParagraphFont"/>
    <w:link w:val="Heading1"/>
    <w:rsid w:val="00070C55"/>
    <w:rPr>
      <w:rFonts w:ascii="Times New Roman" w:eastAsia="Times New Roman" w:hAnsi="Times New Roman" w:cs="Times New Roman"/>
      <w:b/>
      <w:sz w:val="32"/>
      <w:szCs w:val="20"/>
      <w:lang w:eastAsia="en-US"/>
    </w:rPr>
  </w:style>
  <w:style w:type="paragraph" w:styleId="BodyText">
    <w:name w:val="Body Text"/>
    <w:basedOn w:val="Normal"/>
    <w:link w:val="BodyTextChar"/>
    <w:rsid w:val="00070C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C55"/>
    <w:rPr>
      <w:rFonts w:ascii="Times New Roman" w:eastAsia="Times New Roman" w:hAnsi="Times New Roman" w:cs="Times New Roman"/>
      <w:sz w:val="24"/>
      <w:lang w:val="en-US" w:eastAsia="en-US"/>
    </w:rPr>
  </w:style>
  <w:style w:type="paragraph" w:styleId="Footer">
    <w:name w:val="footer"/>
    <w:basedOn w:val="Normal"/>
    <w:link w:val="FooterChar"/>
    <w:rsid w:val="00070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C55"/>
    <w:rPr>
      <w:rFonts w:ascii="Times New Roman" w:eastAsia="Times New Roman" w:hAnsi="Times New Roman" w:cs="Times New Roman"/>
      <w:sz w:val="16"/>
      <w:lang w:val="en-US" w:eastAsia="en-US"/>
    </w:rPr>
  </w:style>
  <w:style w:type="paragraph" w:styleId="List">
    <w:name w:val="List"/>
    <w:basedOn w:val="BodyText"/>
    <w:next w:val="BodyText"/>
    <w:rsid w:val="00070C55"/>
    <w:pPr>
      <w:tabs>
        <w:tab w:val="left" w:pos="340"/>
      </w:tabs>
      <w:spacing w:before="60" w:after="60"/>
      <w:ind w:left="340" w:hanging="340"/>
    </w:pPr>
  </w:style>
  <w:style w:type="paragraph" w:styleId="ListBullet">
    <w:name w:val="List Bullet"/>
    <w:basedOn w:val="List"/>
    <w:rsid w:val="00070C55"/>
    <w:pPr>
      <w:numPr>
        <w:numId w:val="12"/>
      </w:numPr>
      <w:tabs>
        <w:tab w:val="clear" w:pos="340"/>
      </w:tabs>
      <w:spacing w:before="40" w:after="40"/>
    </w:pPr>
  </w:style>
  <w:style w:type="character" w:customStyle="1" w:styleId="SpecialBold">
    <w:name w:val="Special Bold"/>
    <w:basedOn w:val="DefaultParagraphFont"/>
    <w:rsid w:val="00070C55"/>
    <w:rPr>
      <w:b/>
      <w:spacing w:val="0"/>
    </w:rPr>
  </w:style>
  <w:style w:type="paragraph" w:styleId="Header">
    <w:name w:val="header"/>
    <w:basedOn w:val="Normal"/>
    <w:link w:val="HeaderChar"/>
    <w:rsid w:val="00070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C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C55"/>
    <w:pPr>
      <w:spacing w:before="240" w:after="120"/>
      <w:outlineLvl w:val="0"/>
    </w:pPr>
    <w:rPr>
      <w:rFonts w:ascii="Times New Roman" w:hAnsi="Times New Roman"/>
      <w:b/>
      <w:sz w:val="28"/>
    </w:rPr>
  </w:style>
  <w:style w:type="paragraph" w:customStyle="1" w:styleId="AllowPageBreak">
    <w:name w:val="AllowPageBreak"/>
    <w:rsid w:val="00070C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C55"/>
    <w:pPr>
      <w:tabs>
        <w:tab w:val="left" w:pos="680"/>
      </w:tabs>
      <w:spacing w:before="60" w:after="60"/>
      <w:ind w:left="680" w:hanging="340"/>
    </w:pPr>
  </w:style>
  <w:style w:type="character" w:customStyle="1" w:styleId="BoldandItalics">
    <w:name w:val="Bold and Italics"/>
    <w:qFormat/>
    <w:rsid w:val="00070C55"/>
    <w:rPr>
      <w:b/>
      <w:i/>
      <w:u w:val="none"/>
    </w:rPr>
  </w:style>
  <w:style w:type="character" w:customStyle="1" w:styleId="Heading2Char">
    <w:name w:val="Heading 2 Char"/>
    <w:basedOn w:val="DefaultParagraphFont"/>
    <w:link w:val="Heading2"/>
    <w:rsid w:val="00070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C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C55"/>
    <w:rPr>
      <w:rFonts w:ascii="Courier New" w:eastAsia="Times New Roman" w:hAnsi="Courier New" w:cs="Times New Roman"/>
      <w:i/>
      <w:szCs w:val="20"/>
      <w:lang w:val="en-US" w:eastAsia="en-US"/>
    </w:rPr>
  </w:style>
  <w:style w:type="paragraph" w:customStyle="1" w:styleId="HeadingBase">
    <w:name w:val="Heading Base"/>
    <w:rsid w:val="00070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55"/>
    <w:pPr>
      <w:tabs>
        <w:tab w:val="right" w:leader="dot" w:pos="9072"/>
      </w:tabs>
      <w:ind w:left="567"/>
    </w:pPr>
    <w:rPr>
      <w:szCs w:val="22"/>
    </w:rPr>
  </w:style>
  <w:style w:type="paragraph" w:customStyle="1" w:styleId="TOCBase">
    <w:name w:val="TOC Base"/>
    <w:rsid w:val="00070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55"/>
    <w:pPr>
      <w:tabs>
        <w:tab w:val="right" w:leader="dot" w:pos="9072"/>
      </w:tabs>
      <w:spacing w:before="40" w:after="40"/>
      <w:ind w:left="284"/>
    </w:pPr>
    <w:rPr>
      <w:rFonts w:ascii="Times New Roman" w:hAnsi="Times New Roman"/>
    </w:rPr>
  </w:style>
  <w:style w:type="paragraph" w:styleId="TOC1">
    <w:name w:val="toc 1"/>
    <w:basedOn w:val="TOCBase"/>
    <w:next w:val="Normal"/>
    <w:rsid w:val="00070C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C55"/>
    <w:pPr>
      <w:spacing w:before="5040"/>
      <w:jc w:val="center"/>
    </w:pPr>
    <w:rPr>
      <w:sz w:val="48"/>
      <w:szCs w:val="72"/>
      <w:lang w:val="en-US"/>
    </w:rPr>
  </w:style>
  <w:style w:type="character" w:customStyle="1" w:styleId="TitleChar">
    <w:name w:val="Title Char"/>
    <w:basedOn w:val="DefaultParagraphFont"/>
    <w:link w:val="Title"/>
    <w:rsid w:val="00070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55"/>
    <w:pPr>
      <w:tabs>
        <w:tab w:val="left" w:pos="3600"/>
        <w:tab w:val="left" w:pos="3958"/>
      </w:tabs>
    </w:pPr>
  </w:style>
  <w:style w:type="paragraph" w:customStyle="1" w:styleId="Note">
    <w:name w:val="Note"/>
    <w:basedOn w:val="BodyText"/>
    <w:rsid w:val="00070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55"/>
    <w:pPr>
      <w:framePr w:wrap="auto" w:hAnchor="text" w:y="6049"/>
    </w:pPr>
    <w:rPr>
      <w:color w:val="000000"/>
      <w:sz w:val="40"/>
    </w:rPr>
  </w:style>
  <w:style w:type="paragraph" w:customStyle="1" w:styleId="TOCTitle">
    <w:name w:val="TOCTitle"/>
    <w:basedOn w:val="Heading1"/>
    <w:rsid w:val="00070C55"/>
    <w:pPr>
      <w:spacing w:after="240"/>
      <w:jc w:val="center"/>
      <w:outlineLvl w:val="9"/>
    </w:pPr>
    <w:rPr>
      <w:caps/>
    </w:rPr>
  </w:style>
  <w:style w:type="paragraph" w:customStyle="1" w:styleId="Version">
    <w:name w:val="Version"/>
    <w:rsid w:val="00070C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C55"/>
    <w:pPr>
      <w:numPr>
        <w:numId w:val="13"/>
      </w:numPr>
      <w:tabs>
        <w:tab w:val="clear" w:pos="680"/>
      </w:tabs>
    </w:pPr>
  </w:style>
  <w:style w:type="paragraph" w:styleId="Index1">
    <w:name w:val="index 1"/>
    <w:basedOn w:val="Normal"/>
    <w:next w:val="Normal"/>
    <w:semiHidden/>
    <w:rsid w:val="00070C55"/>
    <w:pPr>
      <w:keepNext w:val="0"/>
      <w:tabs>
        <w:tab w:val="right" w:pos="4176"/>
      </w:tabs>
      <w:ind w:left="198" w:hanging="198"/>
    </w:pPr>
    <w:rPr>
      <w:rFonts w:ascii="Garamond" w:hAnsi="Garamond"/>
    </w:rPr>
  </w:style>
  <w:style w:type="paragraph" w:styleId="IndexHeading">
    <w:name w:val="index heading"/>
    <w:basedOn w:val="Normal"/>
    <w:next w:val="Index1"/>
    <w:semiHidden/>
    <w:rsid w:val="00070C55"/>
    <w:pPr>
      <w:spacing w:before="120" w:after="120"/>
    </w:pPr>
    <w:rPr>
      <w:rFonts w:ascii="Arial" w:hAnsi="Arial"/>
      <w:b/>
      <w:color w:val="918585"/>
      <w:sz w:val="24"/>
    </w:rPr>
  </w:style>
  <w:style w:type="paragraph" w:customStyle="1" w:styleId="Chapter">
    <w:name w:val="Chapter"/>
    <w:basedOn w:val="Normal"/>
    <w:rsid w:val="00070C55"/>
    <w:pPr>
      <w:spacing w:before="240"/>
    </w:pPr>
    <w:rPr>
      <w:rFonts w:ascii="Times New Roman" w:hAnsi="Times New Roman"/>
      <w:smallCaps/>
      <w:spacing w:val="80"/>
      <w:sz w:val="28"/>
    </w:rPr>
  </w:style>
  <w:style w:type="paragraph" w:customStyle="1" w:styleId="InChapter">
    <w:name w:val="InChapter"/>
    <w:basedOn w:val="Heading3"/>
    <w:rsid w:val="00070C55"/>
    <w:pPr>
      <w:spacing w:after="240"/>
      <w:outlineLvl w:val="9"/>
    </w:pPr>
    <w:rPr>
      <w:noProof/>
    </w:rPr>
  </w:style>
  <w:style w:type="paragraph" w:styleId="Index2">
    <w:name w:val="index 2"/>
    <w:basedOn w:val="Normal"/>
    <w:next w:val="Normal"/>
    <w:semiHidden/>
    <w:rsid w:val="00070C55"/>
    <w:pPr>
      <w:tabs>
        <w:tab w:val="right" w:pos="4176"/>
      </w:tabs>
      <w:ind w:left="568" w:hanging="284"/>
    </w:pPr>
    <w:rPr>
      <w:rFonts w:ascii="Garamond" w:hAnsi="Garamond"/>
    </w:rPr>
  </w:style>
  <w:style w:type="paragraph" w:customStyle="1" w:styleId="Byline">
    <w:name w:val="Byline"/>
    <w:rsid w:val="00070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55"/>
    <w:pPr>
      <w:tabs>
        <w:tab w:val="clear" w:pos="3600"/>
        <w:tab w:val="clear" w:pos="3958"/>
      </w:tabs>
      <w:jc w:val="right"/>
    </w:pPr>
  </w:style>
  <w:style w:type="character" w:styleId="Emphasis">
    <w:name w:val="Emphasis"/>
    <w:basedOn w:val="DefaultParagraphFont"/>
    <w:qFormat/>
    <w:rsid w:val="00070C55"/>
    <w:rPr>
      <w:i/>
    </w:rPr>
  </w:style>
  <w:style w:type="paragraph" w:styleId="Caption">
    <w:name w:val="caption"/>
    <w:basedOn w:val="BodyText"/>
    <w:next w:val="Normal"/>
    <w:qFormat/>
    <w:rsid w:val="00070C55"/>
    <w:pPr>
      <w:framePr w:w="2268" w:hSpace="181" w:vSpace="181" w:wrap="around" w:vAnchor="text" w:hAnchor="page" w:x="1135" w:y="285" w:anchorLock="1"/>
    </w:pPr>
    <w:rPr>
      <w:i/>
    </w:rPr>
  </w:style>
  <w:style w:type="paragraph" w:customStyle="1" w:styleId="MiniTOCTitle">
    <w:name w:val="MiniTOCTitle"/>
    <w:basedOn w:val="Heading4"/>
    <w:rsid w:val="00070C55"/>
    <w:pPr>
      <w:spacing w:before="240"/>
      <w:outlineLvl w:val="9"/>
    </w:pPr>
    <w:rPr>
      <w:noProof/>
      <w:sz w:val="24"/>
    </w:rPr>
  </w:style>
  <w:style w:type="paragraph" w:customStyle="1" w:styleId="MiniTOCItem">
    <w:name w:val="MiniTOCItem"/>
    <w:basedOn w:val="ListBullet"/>
    <w:rsid w:val="00070C55"/>
    <w:pPr>
      <w:numPr>
        <w:numId w:val="0"/>
      </w:numPr>
      <w:tabs>
        <w:tab w:val="right" w:leader="dot" w:pos="6521"/>
      </w:tabs>
      <w:spacing w:before="0" w:after="0"/>
    </w:pPr>
  </w:style>
  <w:style w:type="paragraph" w:customStyle="1" w:styleId="TOFTitle">
    <w:name w:val="TOFTitle"/>
    <w:basedOn w:val="TOCTitle"/>
    <w:rsid w:val="00070C55"/>
  </w:style>
  <w:style w:type="paragraph" w:styleId="TableofFigures">
    <w:name w:val="table of figures"/>
    <w:basedOn w:val="Normal"/>
    <w:next w:val="Normal"/>
    <w:semiHidden/>
    <w:rsid w:val="00070C55"/>
    <w:pPr>
      <w:tabs>
        <w:tab w:val="right" w:leader="dot" w:pos="9072"/>
      </w:tabs>
      <w:ind w:left="970" w:hanging="403"/>
    </w:pPr>
    <w:rPr>
      <w:rFonts w:ascii="Times New Roman" w:hAnsi="Times New Roman"/>
      <w:b/>
    </w:rPr>
  </w:style>
  <w:style w:type="paragraph" w:styleId="ListNumber">
    <w:name w:val="List Number"/>
    <w:basedOn w:val="List"/>
    <w:rsid w:val="00070C55"/>
    <w:pPr>
      <w:numPr>
        <w:numId w:val="10"/>
      </w:numPr>
    </w:pPr>
  </w:style>
  <w:style w:type="character" w:customStyle="1" w:styleId="WingdingSymbols">
    <w:name w:val="Wingding Symbols"/>
    <w:rsid w:val="00070C55"/>
    <w:rPr>
      <w:rFonts w:ascii="Wingdings" w:hAnsi="Wingdings"/>
    </w:rPr>
  </w:style>
  <w:style w:type="paragraph" w:customStyle="1" w:styleId="TableHeading">
    <w:name w:val="Table Heading"/>
    <w:basedOn w:val="HeadingBase"/>
    <w:rsid w:val="00070C55"/>
    <w:pPr>
      <w:keepLines/>
      <w:pBdr>
        <w:bottom w:val="single" w:sz="6" w:space="1" w:color="918585"/>
      </w:pBdr>
      <w:spacing w:before="240"/>
    </w:pPr>
  </w:style>
  <w:style w:type="character" w:customStyle="1" w:styleId="HotSpot">
    <w:name w:val="HotSpot"/>
    <w:rsid w:val="00070C55"/>
    <w:rPr>
      <w:color w:val="0033CC"/>
      <w:u w:val="none"/>
    </w:rPr>
  </w:style>
  <w:style w:type="paragraph" w:customStyle="1" w:styleId="BodyTextRight">
    <w:name w:val="Body Text Right"/>
    <w:basedOn w:val="BodyText"/>
    <w:rsid w:val="00070C55"/>
    <w:pPr>
      <w:spacing w:before="0" w:after="0"/>
      <w:jc w:val="right"/>
    </w:pPr>
  </w:style>
  <w:style w:type="paragraph" w:styleId="Index3">
    <w:name w:val="index 3"/>
    <w:basedOn w:val="ListNumber2"/>
    <w:next w:val="Normal"/>
    <w:semiHidden/>
    <w:rsid w:val="00070C55"/>
    <w:pPr>
      <w:numPr>
        <w:numId w:val="0"/>
      </w:numPr>
      <w:tabs>
        <w:tab w:val="right" w:leader="dot" w:pos="4176"/>
      </w:tabs>
    </w:pPr>
  </w:style>
  <w:style w:type="paragraph" w:styleId="ListNumber2">
    <w:name w:val="List Number 2"/>
    <w:basedOn w:val="List2"/>
    <w:rsid w:val="00070C55"/>
    <w:pPr>
      <w:numPr>
        <w:numId w:val="9"/>
      </w:numPr>
      <w:tabs>
        <w:tab w:val="clear" w:pos="1060"/>
      </w:tabs>
    </w:pPr>
  </w:style>
  <w:style w:type="paragraph" w:customStyle="1" w:styleId="MarginNote">
    <w:name w:val="Margin Note"/>
    <w:basedOn w:val="BodyText"/>
    <w:rsid w:val="00070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C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C55"/>
    <w:rPr>
      <w:sz w:val="32"/>
    </w:rPr>
  </w:style>
  <w:style w:type="paragraph" w:customStyle="1" w:styleId="HeadingProcedure">
    <w:name w:val="Heading Procedure"/>
    <w:basedOn w:val="HeadingBase"/>
    <w:next w:val="Normal"/>
    <w:rsid w:val="00070C55"/>
    <w:pPr>
      <w:tabs>
        <w:tab w:val="left" w:pos="0"/>
      </w:tabs>
      <w:spacing w:before="120" w:after="60"/>
    </w:pPr>
    <w:rPr>
      <w:i/>
      <w:color w:val="918585"/>
      <w:sz w:val="22"/>
    </w:rPr>
  </w:style>
  <w:style w:type="paragraph" w:customStyle="1" w:styleId="TableBodyText">
    <w:name w:val="Table Body Text"/>
    <w:basedOn w:val="BodyText"/>
    <w:rsid w:val="00070C55"/>
    <w:pPr>
      <w:spacing w:before="60" w:after="60"/>
    </w:pPr>
  </w:style>
  <w:style w:type="paragraph" w:styleId="ListContinue">
    <w:name w:val="List Continue"/>
    <w:basedOn w:val="List"/>
    <w:rsid w:val="00070C55"/>
    <w:pPr>
      <w:ind w:firstLine="0"/>
    </w:pPr>
  </w:style>
  <w:style w:type="paragraph" w:customStyle="1" w:styleId="ListNote">
    <w:name w:val="List Note"/>
    <w:basedOn w:val="List"/>
    <w:rsid w:val="00070C55"/>
    <w:pPr>
      <w:pBdr>
        <w:top w:val="single" w:sz="6" w:space="2" w:color="918585"/>
        <w:bottom w:val="single" w:sz="6" w:space="2" w:color="918585"/>
      </w:pBdr>
      <w:tabs>
        <w:tab w:val="left" w:pos="1021"/>
      </w:tabs>
      <w:ind w:firstLine="0"/>
    </w:pPr>
  </w:style>
  <w:style w:type="paragraph" w:customStyle="1" w:styleId="Warning">
    <w:name w:val="Warning"/>
    <w:basedOn w:val="BodyText"/>
    <w:rsid w:val="00070C55"/>
    <w:pPr>
      <w:shd w:val="clear" w:color="auto" w:fill="D9D9D9"/>
      <w:tabs>
        <w:tab w:val="left" w:pos="992"/>
      </w:tabs>
      <w:ind w:left="119" w:right="119"/>
    </w:pPr>
    <w:rPr>
      <w:sz w:val="20"/>
    </w:rPr>
  </w:style>
  <w:style w:type="paragraph" w:customStyle="1" w:styleId="MarginIcons">
    <w:name w:val="Margin Icons"/>
    <w:basedOn w:val="BodyText"/>
    <w:rsid w:val="00070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C55"/>
    <w:rPr>
      <w:rFonts w:ascii="Courier New" w:hAnsi="Courier New"/>
    </w:rPr>
  </w:style>
  <w:style w:type="paragraph" w:customStyle="1" w:styleId="NoteBullet">
    <w:name w:val="Note Bullet"/>
    <w:basedOn w:val="Note"/>
    <w:rsid w:val="00070C55"/>
    <w:pPr>
      <w:tabs>
        <w:tab w:val="clear" w:pos="680"/>
      </w:tabs>
      <w:spacing w:before="60" w:after="60"/>
    </w:pPr>
  </w:style>
  <w:style w:type="paragraph" w:customStyle="1" w:styleId="SubHeading2">
    <w:name w:val="SubHeading2"/>
    <w:basedOn w:val="HeadingBase"/>
    <w:rsid w:val="00070C55"/>
    <w:pPr>
      <w:spacing w:before="240" w:after="60"/>
    </w:pPr>
    <w:rPr>
      <w:sz w:val="20"/>
    </w:rPr>
  </w:style>
  <w:style w:type="paragraph" w:customStyle="1" w:styleId="SubHeading1">
    <w:name w:val="SubHeading1"/>
    <w:basedOn w:val="HeadingBase"/>
    <w:rsid w:val="00070C55"/>
    <w:pPr>
      <w:spacing w:before="240" w:after="60"/>
    </w:pPr>
    <w:rPr>
      <w:color w:val="918585"/>
      <w:sz w:val="22"/>
    </w:rPr>
  </w:style>
  <w:style w:type="paragraph" w:customStyle="1" w:styleId="SideHeading">
    <w:name w:val="Side Heading"/>
    <w:basedOn w:val="HeadingBase"/>
    <w:rsid w:val="00070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55"/>
    <w:pPr>
      <w:tabs>
        <w:tab w:val="num" w:pos="360"/>
      </w:tabs>
    </w:pPr>
  </w:style>
  <w:style w:type="paragraph" w:styleId="PlainText">
    <w:name w:val="Plain Text"/>
    <w:basedOn w:val="Normal"/>
    <w:link w:val="PlainTextChar"/>
    <w:rsid w:val="00070C55"/>
    <w:rPr>
      <w:sz w:val="20"/>
    </w:rPr>
  </w:style>
  <w:style w:type="character" w:customStyle="1" w:styleId="PlainTextChar">
    <w:name w:val="Plain Text Char"/>
    <w:basedOn w:val="DefaultParagraphFont"/>
    <w:link w:val="PlainText"/>
    <w:rsid w:val="00070C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C55"/>
    <w:rPr>
      <w:b/>
      <w:smallCaps/>
    </w:rPr>
  </w:style>
  <w:style w:type="paragraph" w:customStyle="1" w:styleId="TableListNumber">
    <w:name w:val="Table List Number"/>
    <w:basedOn w:val="ListNumber"/>
    <w:rsid w:val="00070C55"/>
    <w:pPr>
      <w:numPr>
        <w:numId w:val="0"/>
      </w:numPr>
    </w:pPr>
  </w:style>
  <w:style w:type="paragraph" w:styleId="TOC4">
    <w:name w:val="toc 4"/>
    <w:basedOn w:val="TOCBase"/>
    <w:next w:val="Normal"/>
    <w:semiHidden/>
    <w:rsid w:val="00070C55"/>
    <w:pPr>
      <w:tabs>
        <w:tab w:val="right" w:leader="dot" w:pos="9071"/>
      </w:tabs>
      <w:ind w:left="1701"/>
    </w:pPr>
  </w:style>
  <w:style w:type="paragraph" w:customStyle="1" w:styleId="ListAlpha">
    <w:name w:val="List Alpha"/>
    <w:basedOn w:val="List"/>
    <w:rsid w:val="00070C55"/>
    <w:pPr>
      <w:numPr>
        <w:numId w:val="8"/>
      </w:numPr>
    </w:pPr>
  </w:style>
  <w:style w:type="paragraph" w:customStyle="1" w:styleId="ListAlpha2">
    <w:name w:val="List Alpha 2"/>
    <w:basedOn w:val="List2"/>
    <w:rsid w:val="00070C55"/>
    <w:pPr>
      <w:numPr>
        <w:numId w:val="7"/>
      </w:numPr>
    </w:pPr>
  </w:style>
  <w:style w:type="paragraph" w:styleId="List3">
    <w:name w:val="List 3"/>
    <w:basedOn w:val="BodyText"/>
    <w:rsid w:val="00070C55"/>
    <w:pPr>
      <w:tabs>
        <w:tab w:val="left" w:pos="1021"/>
      </w:tabs>
      <w:spacing w:before="60" w:after="60"/>
      <w:ind w:left="1020" w:hanging="340"/>
    </w:pPr>
  </w:style>
  <w:style w:type="paragraph" w:styleId="List4">
    <w:name w:val="List 4"/>
    <w:basedOn w:val="BodyText"/>
    <w:rsid w:val="00070C55"/>
    <w:pPr>
      <w:tabs>
        <w:tab w:val="left" w:pos="1361"/>
      </w:tabs>
      <w:spacing w:before="60" w:after="60"/>
      <w:ind w:left="1361" w:hanging="340"/>
    </w:pPr>
  </w:style>
  <w:style w:type="paragraph" w:styleId="List5">
    <w:name w:val="List 5"/>
    <w:basedOn w:val="BodyText"/>
    <w:rsid w:val="00070C55"/>
    <w:pPr>
      <w:tabs>
        <w:tab w:val="left" w:pos="1701"/>
      </w:tabs>
      <w:spacing w:before="60" w:after="60"/>
      <w:ind w:left="1701" w:hanging="340"/>
    </w:pPr>
  </w:style>
  <w:style w:type="paragraph" w:styleId="ListBullet3">
    <w:name w:val="List Bullet 3"/>
    <w:basedOn w:val="List3"/>
    <w:rsid w:val="00070C55"/>
    <w:pPr>
      <w:numPr>
        <w:numId w:val="14"/>
      </w:numPr>
      <w:tabs>
        <w:tab w:val="clear" w:pos="1021"/>
      </w:tabs>
      <w:ind w:left="1037" w:hanging="357"/>
    </w:pPr>
  </w:style>
  <w:style w:type="paragraph" w:styleId="ListBullet4">
    <w:name w:val="List Bullet 4"/>
    <w:basedOn w:val="List4"/>
    <w:rsid w:val="00070C55"/>
    <w:pPr>
      <w:numPr>
        <w:numId w:val="2"/>
      </w:numPr>
    </w:pPr>
  </w:style>
  <w:style w:type="paragraph" w:styleId="ListBullet5">
    <w:name w:val="List Bullet 5"/>
    <w:basedOn w:val="List5"/>
    <w:rsid w:val="00070C55"/>
    <w:pPr>
      <w:numPr>
        <w:numId w:val="3"/>
      </w:numPr>
    </w:pPr>
  </w:style>
  <w:style w:type="paragraph" w:styleId="ListContinue2">
    <w:name w:val="List Continue 2"/>
    <w:basedOn w:val="List2"/>
    <w:rsid w:val="00070C55"/>
    <w:pPr>
      <w:ind w:firstLine="0"/>
    </w:pPr>
  </w:style>
  <w:style w:type="paragraph" w:styleId="ListContinue3">
    <w:name w:val="List Continue 3"/>
    <w:basedOn w:val="List3"/>
    <w:rsid w:val="00070C55"/>
    <w:pPr>
      <w:ind w:left="1021" w:firstLine="0"/>
    </w:pPr>
  </w:style>
  <w:style w:type="paragraph" w:styleId="ListContinue4">
    <w:name w:val="List Continue 4"/>
    <w:basedOn w:val="List4"/>
    <w:rsid w:val="00070C55"/>
    <w:pPr>
      <w:ind w:firstLine="0"/>
    </w:pPr>
  </w:style>
  <w:style w:type="paragraph" w:styleId="ListContinue5">
    <w:name w:val="List Continue 5"/>
    <w:basedOn w:val="List5"/>
    <w:rsid w:val="00070C55"/>
    <w:pPr>
      <w:ind w:firstLine="0"/>
    </w:pPr>
  </w:style>
  <w:style w:type="paragraph" w:styleId="ListNumber3">
    <w:name w:val="List Number 3"/>
    <w:basedOn w:val="List3"/>
    <w:rsid w:val="00070C55"/>
    <w:pPr>
      <w:numPr>
        <w:numId w:val="4"/>
      </w:numPr>
    </w:pPr>
  </w:style>
  <w:style w:type="paragraph" w:styleId="ListNumber4">
    <w:name w:val="List Number 4"/>
    <w:basedOn w:val="List4"/>
    <w:rsid w:val="00070C55"/>
    <w:pPr>
      <w:numPr>
        <w:numId w:val="5"/>
      </w:numPr>
    </w:pPr>
  </w:style>
  <w:style w:type="paragraph" w:styleId="ListNumber5">
    <w:name w:val="List Number 5"/>
    <w:basedOn w:val="List5"/>
    <w:rsid w:val="00070C55"/>
    <w:pPr>
      <w:numPr>
        <w:numId w:val="6"/>
      </w:numPr>
    </w:pPr>
  </w:style>
  <w:style w:type="paragraph" w:styleId="BlockText">
    <w:name w:val="Block Text"/>
    <w:basedOn w:val="Normal"/>
    <w:rsid w:val="00070C55"/>
    <w:pPr>
      <w:spacing w:after="120"/>
      <w:ind w:left="1440" w:right="1440"/>
    </w:pPr>
  </w:style>
  <w:style w:type="character" w:customStyle="1" w:styleId="Subscript">
    <w:name w:val="Subscript"/>
    <w:basedOn w:val="DefaultParagraphFont"/>
    <w:rsid w:val="00070C55"/>
    <w:rPr>
      <w:sz w:val="16"/>
      <w:vertAlign w:val="subscript"/>
    </w:rPr>
  </w:style>
  <w:style w:type="character" w:customStyle="1" w:styleId="Superscript">
    <w:name w:val="Superscript"/>
    <w:basedOn w:val="DefaultParagraphFont"/>
    <w:rsid w:val="00070C55"/>
    <w:rPr>
      <w:sz w:val="16"/>
      <w:vertAlign w:val="superscript"/>
    </w:rPr>
  </w:style>
  <w:style w:type="character" w:customStyle="1" w:styleId="Symbols">
    <w:name w:val="Symbols"/>
    <w:basedOn w:val="DefaultParagraphFont"/>
    <w:rsid w:val="00070C55"/>
    <w:rPr>
      <w:rFonts w:ascii="Symbol" w:hAnsi="Symbol"/>
    </w:rPr>
  </w:style>
  <w:style w:type="character" w:customStyle="1" w:styleId="MenuOptions">
    <w:name w:val="Menu Options"/>
    <w:basedOn w:val="DefaultParagraphFont"/>
    <w:rsid w:val="00070C55"/>
    <w:rPr>
      <w:rFonts w:ascii="Arial Narrow" w:hAnsi="Arial Narrow"/>
      <w:smallCaps/>
    </w:rPr>
  </w:style>
  <w:style w:type="character" w:customStyle="1" w:styleId="Buttons">
    <w:name w:val="Buttons"/>
    <w:basedOn w:val="DefaultParagraphFont"/>
    <w:rsid w:val="00070C55"/>
    <w:rPr>
      <w:b/>
    </w:rPr>
  </w:style>
  <w:style w:type="character" w:customStyle="1" w:styleId="Underlined">
    <w:name w:val="Underlined"/>
    <w:basedOn w:val="DefaultParagraphFont"/>
    <w:rsid w:val="00070C55"/>
    <w:rPr>
      <w:u w:val="single"/>
    </w:rPr>
  </w:style>
  <w:style w:type="paragraph" w:customStyle="1" w:styleId="TableBodyTextRight">
    <w:name w:val="Table Body Text Right"/>
    <w:basedOn w:val="TableBodyText"/>
    <w:rsid w:val="00070C55"/>
    <w:pPr>
      <w:widowControl w:val="0"/>
      <w:autoSpaceDE w:val="0"/>
      <w:autoSpaceDN w:val="0"/>
      <w:adjustRightInd w:val="0"/>
      <w:jc w:val="right"/>
    </w:pPr>
    <w:rPr>
      <w:rFonts w:cs="Arial"/>
      <w:szCs w:val="18"/>
    </w:rPr>
  </w:style>
  <w:style w:type="paragraph" w:customStyle="1" w:styleId="CopyrightText">
    <w:name w:val="Copyright Text"/>
    <w:basedOn w:val="BodyText"/>
    <w:rsid w:val="00070C55"/>
    <w:rPr>
      <w:sz w:val="18"/>
    </w:rPr>
  </w:style>
  <w:style w:type="paragraph" w:customStyle="1" w:styleId="BodySmallRight">
    <w:name w:val="Body Small Right"/>
    <w:basedOn w:val="BodyTextRight"/>
    <w:rsid w:val="00070C55"/>
    <w:rPr>
      <w:sz w:val="18"/>
      <w:szCs w:val="18"/>
    </w:rPr>
  </w:style>
  <w:style w:type="paragraph" w:customStyle="1" w:styleId="MarginEdition">
    <w:name w:val="Margin Edition"/>
    <w:basedOn w:val="MarginNote"/>
    <w:rsid w:val="00070C55"/>
    <w:pPr>
      <w:spacing w:before="0" w:after="0"/>
    </w:pPr>
    <w:rPr>
      <w:rFonts w:ascii="Times New Roman" w:hAnsi="Times New Roman"/>
      <w:color w:val="999999"/>
    </w:rPr>
  </w:style>
  <w:style w:type="paragraph" w:customStyle="1" w:styleId="Spacer">
    <w:name w:val="Spacer"/>
    <w:basedOn w:val="Normal"/>
    <w:rsid w:val="00070C55"/>
    <w:rPr>
      <w:sz w:val="2"/>
      <w:szCs w:val="2"/>
    </w:rPr>
  </w:style>
  <w:style w:type="character" w:customStyle="1" w:styleId="Small">
    <w:name w:val="Small"/>
    <w:basedOn w:val="DefaultParagraphFont"/>
    <w:rsid w:val="00070C55"/>
    <w:rPr>
      <w:sz w:val="16"/>
    </w:rPr>
  </w:style>
  <w:style w:type="paragraph" w:customStyle="1" w:styleId="WideTable">
    <w:name w:val="Wide Table"/>
    <w:basedOn w:val="Normal"/>
    <w:rsid w:val="00070C55"/>
    <w:pPr>
      <w:ind w:left="-1418"/>
    </w:pPr>
    <w:rPr>
      <w:sz w:val="2"/>
      <w:szCs w:val="2"/>
    </w:rPr>
  </w:style>
  <w:style w:type="character" w:styleId="PageNumber">
    <w:name w:val="page number"/>
    <w:basedOn w:val="DefaultParagraphFont"/>
    <w:rsid w:val="00070C55"/>
  </w:style>
  <w:style w:type="paragraph" w:styleId="Quote">
    <w:name w:val="Quote"/>
    <w:basedOn w:val="Heading1"/>
    <w:link w:val="QuoteChar"/>
    <w:qFormat/>
    <w:rsid w:val="00070C55"/>
    <w:rPr>
      <w:b w:val="0"/>
      <w:sz w:val="72"/>
      <w:szCs w:val="72"/>
      <w:lang w:val="en-NZ"/>
    </w:rPr>
  </w:style>
  <w:style w:type="character" w:customStyle="1" w:styleId="QuoteChar">
    <w:name w:val="Quote Char"/>
    <w:basedOn w:val="DefaultParagraphFont"/>
    <w:link w:val="Quote"/>
    <w:rsid w:val="00070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55"/>
    <w:pPr>
      <w:pageBreakBefore/>
    </w:pPr>
  </w:style>
  <w:style w:type="paragraph" w:customStyle="1" w:styleId="Border">
    <w:name w:val="Border"/>
    <w:basedOn w:val="Normal"/>
    <w:qFormat/>
    <w:rsid w:val="00070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C55"/>
    <w:rPr>
      <w:b/>
      <w:bCs/>
      <w:i/>
      <w:iCs/>
      <w:color w:val="auto"/>
    </w:rPr>
  </w:style>
  <w:style w:type="paragraph" w:styleId="IntenseQuote">
    <w:name w:val="Intense Quote"/>
    <w:basedOn w:val="Normal"/>
    <w:next w:val="Normal"/>
    <w:link w:val="IntenseQuoteChar"/>
    <w:uiPriority w:val="30"/>
    <w:qFormat/>
    <w:rsid w:val="00070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C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C55"/>
    <w:rPr>
      <w:smallCaps/>
      <w:color w:val="auto"/>
      <w:u w:val="single"/>
    </w:rPr>
  </w:style>
  <w:style w:type="character" w:styleId="IntenseReference">
    <w:name w:val="Intense Reference"/>
    <w:basedOn w:val="DefaultParagraphFont"/>
    <w:uiPriority w:val="32"/>
    <w:qFormat/>
    <w:rsid w:val="00070C55"/>
    <w:rPr>
      <w:b/>
      <w:bCs/>
      <w:smallCaps/>
      <w:color w:val="auto"/>
      <w:spacing w:val="5"/>
      <w:u w:val="single"/>
    </w:rPr>
  </w:style>
  <w:style w:type="paragraph" w:customStyle="1" w:styleId="2ColumnHeading">
    <w:name w:val="2Column Heading"/>
    <w:basedOn w:val="BodyText"/>
    <w:qFormat/>
    <w:rsid w:val="00070C55"/>
    <w:pPr>
      <w:spacing w:after="60"/>
      <w:ind w:left="-2268"/>
    </w:pPr>
    <w:rPr>
      <w:b/>
    </w:rPr>
  </w:style>
  <w:style w:type="paragraph" w:customStyle="1" w:styleId="Heading1TOC">
    <w:name w:val="Heading1 TOC"/>
    <w:basedOn w:val="Normal"/>
    <w:qFormat/>
    <w:rsid w:val="00070C55"/>
    <w:pPr>
      <w:spacing w:before="240" w:after="120"/>
    </w:pPr>
    <w:rPr>
      <w:rFonts w:ascii="Times New Roman" w:hAnsi="Times New Roman"/>
      <w:b/>
      <w:sz w:val="32"/>
    </w:rPr>
  </w:style>
  <w:style w:type="paragraph" w:customStyle="1" w:styleId="Heading2TOC">
    <w:name w:val="Heading2 TOC"/>
    <w:basedOn w:val="Normal"/>
    <w:qFormat/>
    <w:rsid w:val="00070C55"/>
    <w:pPr>
      <w:spacing w:before="240" w:after="60"/>
    </w:pPr>
    <w:rPr>
      <w:rFonts w:ascii="Times New Roman" w:hAnsi="Times New Roman"/>
      <w:b/>
      <w:sz w:val="28"/>
    </w:rPr>
  </w:style>
  <w:style w:type="character" w:customStyle="1" w:styleId="Underline">
    <w:name w:val="Underline"/>
    <w:basedOn w:val="DefaultParagraphFont"/>
    <w:qFormat/>
    <w:rsid w:val="00070C55"/>
    <w:rPr>
      <w:u w:val="single"/>
    </w:rPr>
  </w:style>
  <w:style w:type="paragraph" w:styleId="BalloonText">
    <w:name w:val="Balloon Text"/>
    <w:basedOn w:val="Normal"/>
    <w:link w:val="BalloonTextChar"/>
    <w:rsid w:val="00070C55"/>
    <w:rPr>
      <w:rFonts w:ascii="Tahoma" w:hAnsi="Tahoma" w:cs="Tahoma"/>
      <w:sz w:val="16"/>
      <w:szCs w:val="16"/>
    </w:rPr>
  </w:style>
  <w:style w:type="character" w:customStyle="1" w:styleId="BalloonTextChar">
    <w:name w:val="Balloon Text Char"/>
    <w:basedOn w:val="DefaultParagraphFont"/>
    <w:link w:val="BalloonText"/>
    <w:rsid w:val="00070C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C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C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8829</Characters>
  <Application>Microsoft Office Word</Application>
  <DocSecurity>0</DocSecurity>
  <Lines>309</Lines>
  <Paragraphs>148</Paragraphs>
  <ScaleCrop>false</ScaleCrop>
  <Company>Author-it Software Corporation Ltd.</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FDFPH4002A Facilitate and monitor Good Manufacturing Practice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