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687" w:rsidP="00714687">
      <w:pPr>
        <w:pStyle w:val="Title"/>
      </w:pPr>
      <w:r>
        <w:fldChar w:fldCharType="begin"/>
      </w:r>
      <w:r>
        <w:instrText xml:space="preserve"> TITLE   \* MERGEFORMAT </w:instrText>
      </w:r>
      <w:r>
        <w:fldChar w:fldCharType="separate"/>
      </w:r>
      <w:r>
        <w:t>FDFPH2009A Dispense pharmaceutical raw materials</w:t>
      </w:r>
      <w:r>
        <w:fldChar w:fldCharType="end"/>
      </w:r>
    </w:p>
    <w:p w:rsidR="00714687" w:rsidP="00714687">
      <w:pPr>
        <w:pStyle w:val="Version"/>
        <w:sectPr w:rsidSect="00CA6C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6CE2" w:rsidP="00CA6CE2">
      <w:pPr>
        <w:pStyle w:val="SuperHeading"/>
      </w:pPr>
      <w:r w:rsidRPr="00CA6CE2">
        <w:t>FDFPH2009A Dispense pharmaceutical raw materials</w:t>
      </w:r>
    </w:p>
    <w:p w:rsidR="00000000" w:rsidRPr="00CA6CE2" w:rsidP="00CA6CE2">
      <w:pPr>
        <w:pStyle w:val="SuperHeading"/>
      </w:pPr>
    </w:p>
    <w:p w:rsidR="00000000" w:rsidRPr="00CA6CE2" w:rsidP="00CA6CE2">
      <w:pPr>
        <w:pStyle w:val="Heading1"/>
      </w:pPr>
      <w:bookmarkStart w:id="1" w:name="O_76011"/>
      <w:bookmarkEnd w:id="1"/>
      <w:r w:rsidRPr="00CA6CE2">
        <w:t>Modification History</w:t>
      </w:r>
    </w:p>
    <w:p w:rsidR="00000000" w:rsidRPr="00CA6CE2" w:rsidP="00CA6CE2">
      <w:pPr>
        <w:pStyle w:val="BodyText"/>
      </w:pPr>
      <w:r w:rsidRPr="00CA6CE2">
        <w:t>Not applicable.</w:t>
      </w:r>
    </w:p>
    <w:p w:rsidR="00000000" w:rsidRPr="00CA6CE2" w:rsidP="00CA6CE2">
      <w:pPr>
        <w:pStyle w:val="AllowPageBreak"/>
      </w:pPr>
    </w:p>
    <w:p w:rsidR="00000000" w:rsidRPr="00CA6CE2" w:rsidP="00CA6CE2">
      <w:pPr>
        <w:pStyle w:val="Heading1"/>
      </w:pPr>
      <w:bookmarkStart w:id="2" w:name="O_76012"/>
      <w:bookmarkEnd w:id="2"/>
      <w:r w:rsidRPr="00CA6CE2">
        <w:t>Unit Descriptor</w:t>
      </w:r>
    </w:p>
    <w:tbl>
      <w:tblPr>
        <w:tblW w:w="0" w:type="auto"/>
        <w:tblLayout w:type="fixed"/>
        <w:tblCellMar>
          <w:left w:w="62" w:type="dxa"/>
          <w:right w:w="62" w:type="dxa"/>
        </w:tblCellMar>
        <w:tblLook w:val="0000"/>
      </w:tblPr>
      <w:tblGrid>
        <w:gridCol w:w="2668"/>
        <w:gridCol w:w="5854"/>
      </w:tblGrid>
      <w:tr w:rsidTr="0071468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This unit of compe</w:t>
            </w:r>
            <w:r w:rsidRPr="00CA6CE2">
              <w:t>tency covers the skills and knowledge required to weigh, measure and label non-bulk ingredients to meet batch requirements.</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3" w:name="O_76013"/>
      <w:bookmarkEnd w:id="3"/>
      <w:r w:rsidRPr="00CA6CE2">
        <w:t>Application of the Unit</w:t>
      </w:r>
    </w:p>
    <w:tbl>
      <w:tblPr>
        <w:tblW w:w="0" w:type="auto"/>
        <w:tblLayout w:type="fixed"/>
        <w:tblCellMar>
          <w:left w:w="62" w:type="dxa"/>
          <w:right w:w="62" w:type="dxa"/>
        </w:tblCellMar>
        <w:tblLook w:val="0000"/>
      </w:tblPr>
      <w:tblGrid>
        <w:gridCol w:w="2752"/>
        <w:gridCol w:w="5770"/>
      </w:tblGrid>
      <w:tr w:rsidTr="0071468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This unit applies to production operators working in the pharmaceutical sector. This person would typically work within defined Good Manufacturing Practice (GMP) programs and procedures. This unit typically targets the production worker responsible for app</w:t>
            </w:r>
            <w:r w:rsidRPr="00CA6CE2">
              <w:t>lying basic operating principles to the operation and monitoring of measuring and dispensing equipment.</w:t>
            </w:r>
          </w:p>
          <w:p w:rsidR="00000000" w:rsidRPr="00CA6CE2" w:rsidP="00CA6CE2">
            <w:pPr>
              <w:pStyle w:val="BodyText"/>
            </w:pPr>
            <w:r w:rsidRPr="00CA6CE2">
              <w:t>When batch or product changeover procedures are part of this work process, the procedures should be used to customise the application of this unit. Wher</w:t>
            </w:r>
            <w:r w:rsidRPr="00CA6CE2">
              <w:t>e more detailed changeovers are carried out, FDFOP2011A Conduct routine maintenance, should be considered.</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4" w:name="O_76014"/>
      <w:bookmarkEnd w:id="4"/>
      <w:r w:rsidRPr="00CA6CE2">
        <w:t>Licensing/Regulatory Information</w:t>
      </w:r>
    </w:p>
    <w:p w:rsidR="00000000" w:rsidRPr="00CA6CE2" w:rsidP="00CA6CE2">
      <w:pPr>
        <w:pStyle w:val="BodyText"/>
      </w:pPr>
      <w:r w:rsidRPr="00CA6CE2">
        <w:t>Not applicable.</w:t>
      </w:r>
    </w:p>
    <w:p w:rsidR="00000000" w:rsidRPr="00CA6CE2" w:rsidP="00CA6CE2">
      <w:pPr>
        <w:pStyle w:val="AllowPageBreak"/>
      </w:pPr>
    </w:p>
    <w:p w:rsidR="00000000" w:rsidRPr="00CA6CE2" w:rsidP="00CA6CE2">
      <w:pPr>
        <w:pStyle w:val="Heading1"/>
      </w:pPr>
      <w:bookmarkStart w:id="5" w:name="O_76015"/>
      <w:bookmarkEnd w:id="5"/>
      <w:r w:rsidRPr="00CA6CE2">
        <w:t>Pre-Requisites</w:t>
      </w:r>
    </w:p>
    <w:tbl>
      <w:tblPr>
        <w:tblW w:w="0" w:type="auto"/>
        <w:tblLayout w:type="fixed"/>
        <w:tblCellMar>
          <w:left w:w="62" w:type="dxa"/>
          <w:right w:w="62" w:type="dxa"/>
        </w:tblCellMar>
        <w:tblLook w:val="0000"/>
      </w:tblPr>
      <w:tblGrid>
        <w:gridCol w:w="2775"/>
        <w:gridCol w:w="1295"/>
        <w:gridCol w:w="4452"/>
      </w:tblGrid>
      <w:tr w:rsidTr="007146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p>
        </w:tc>
      </w:tr>
      <w:tr w:rsidTr="007146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p>
        </w:tc>
      </w:tr>
      <w:tr w:rsidTr="007146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6" w:name="O_76016"/>
      <w:bookmarkEnd w:id="6"/>
      <w:r w:rsidRPr="00CA6CE2">
        <w:t>Employability Skills Information</w:t>
      </w:r>
    </w:p>
    <w:tbl>
      <w:tblPr>
        <w:tblW w:w="0" w:type="auto"/>
        <w:tblLayout w:type="fixed"/>
        <w:tblCellMar>
          <w:left w:w="62" w:type="dxa"/>
          <w:right w:w="62" w:type="dxa"/>
        </w:tblCellMar>
        <w:tblLook w:val="0000"/>
      </w:tblPr>
      <w:tblGrid>
        <w:gridCol w:w="2802"/>
        <w:gridCol w:w="5720"/>
      </w:tblGrid>
      <w:tr w:rsidTr="007146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 xml:space="preserve">This unit contains employability skills.  </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7" w:name="O_76017"/>
      <w:bookmarkEnd w:id="7"/>
      <w:r w:rsidRPr="00CA6CE2">
        <w:t>Elements and Performance Criteria Pre-Content</w:t>
      </w:r>
    </w:p>
    <w:tbl>
      <w:tblPr>
        <w:tblW w:w="0" w:type="auto"/>
        <w:tblLayout w:type="fixed"/>
        <w:tblCellMar>
          <w:left w:w="62" w:type="dxa"/>
          <w:right w:w="62" w:type="dxa"/>
        </w:tblCellMar>
        <w:tblLook w:val="0000"/>
      </w:tblPr>
      <w:tblGrid>
        <w:gridCol w:w="2529"/>
        <w:gridCol w:w="5993"/>
      </w:tblGrid>
      <w:tr w:rsidTr="0071468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Performance criteria describe the performance needed to demonstrate achievement of the element. Where bold italicised text is used, further information is detailed in the required skills and knowledge section and the range statement. Assessment of performa</w:t>
            </w:r>
            <w:r w:rsidRPr="00CA6CE2">
              <w:t>nce is to be consistent with the evidence guide.</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8" w:name="O_76018"/>
      <w:bookmarkEnd w:id="8"/>
      <w:r w:rsidRPr="00CA6CE2">
        <w:t>Elements and Performance Criteria</w:t>
      </w:r>
    </w:p>
    <w:tbl>
      <w:tblPr>
        <w:tblW w:w="0" w:type="auto"/>
        <w:tblLayout w:type="fixed"/>
        <w:tblCellMar>
          <w:left w:w="62" w:type="dxa"/>
          <w:right w:w="62" w:type="dxa"/>
        </w:tblCellMar>
        <w:tblLook w:val="0000"/>
      </w:tblPr>
      <w:tblGrid>
        <w:gridCol w:w="2529"/>
        <w:gridCol w:w="5993"/>
      </w:tblGrid>
      <w:tr w:rsidTr="00714687">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PERFORMANCE CRITERIA</w:t>
            </w:r>
          </w:p>
        </w:tc>
      </w:tr>
      <w:tr w:rsidTr="0071468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List"/>
              <w:rPr>
                <w:lang w:val="en-NZ"/>
              </w:rPr>
            </w:pPr>
            <w:r w:rsidRPr="00CA6CE2">
              <w:t>1.</w:t>
            </w:r>
            <w:r w:rsidRPr="00CA6CE2">
              <w:tab/>
              <w:t>Prepare to dispense raw materials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List2"/>
            </w:pPr>
            <w:r w:rsidRPr="00CA6CE2">
              <w:t>1.1.</w:t>
            </w:r>
            <w:r w:rsidRPr="00CA6CE2">
              <w:tab/>
            </w:r>
            <w:r w:rsidRPr="00CA6CE2">
              <w:t>Materials are inspected to confirm type, quality clearance, quantities and identify any obvious contamination or non-compliance</w:t>
            </w:r>
          </w:p>
          <w:p w:rsidR="00000000" w:rsidRPr="00CA6CE2" w:rsidP="00CA6CE2">
            <w:pPr>
              <w:pStyle w:val="List2"/>
            </w:pPr>
            <w:r w:rsidRPr="00CA6CE2">
              <w:t>1.2.</w:t>
            </w:r>
            <w:r w:rsidRPr="00CA6CE2">
              <w:tab/>
              <w:t>Measuring and weighing equipment is selected appropriate to dispensing requirements and checked to confirm readiness for us</w:t>
            </w:r>
            <w:r w:rsidRPr="00CA6CE2">
              <w:t>e</w:t>
            </w:r>
          </w:p>
          <w:p w:rsidR="00000000" w:rsidRPr="00CA6CE2" w:rsidP="00CA6CE2">
            <w:pPr>
              <w:pStyle w:val="List2"/>
            </w:pPr>
            <w:r w:rsidRPr="00CA6CE2">
              <w:t>1.3.</w:t>
            </w:r>
            <w:r w:rsidRPr="00CA6CE2">
              <w:tab/>
              <w:t>Containers/bags and labels are available as required</w:t>
            </w:r>
          </w:p>
          <w:p w:rsidR="00000000" w:rsidP="00CA6CE2">
            <w:pPr>
              <w:pStyle w:val="List2"/>
              <w:rPr>
                <w:lang w:val="en-NZ"/>
              </w:rPr>
            </w:pPr>
            <w:r w:rsidRPr="00CA6CE2">
              <w:t>1.4.</w:t>
            </w:r>
            <w:r w:rsidRPr="00CA6CE2">
              <w:tab/>
              <w:t>Pre-start checks are carried out as required by workplace requirements</w:t>
            </w:r>
          </w:p>
        </w:tc>
      </w:tr>
      <w:tr w:rsidTr="0071468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List"/>
              <w:rPr>
                <w:lang w:val="en-NZ"/>
              </w:rPr>
            </w:pPr>
            <w:r w:rsidRPr="00CA6CE2">
              <w:t>2.</w:t>
            </w:r>
            <w:r w:rsidRPr="00CA6CE2">
              <w:tab/>
              <w:t>Measure and/or weigh raw materials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List2"/>
            </w:pPr>
            <w:r w:rsidRPr="00CA6CE2">
              <w:t>2.1.</w:t>
            </w:r>
            <w:r w:rsidRPr="00CA6CE2">
              <w:tab/>
              <w:t>Non-bulk ingredients and additives are weighed/measured to meet production r</w:t>
            </w:r>
            <w:r w:rsidRPr="00CA6CE2">
              <w:t>equirements</w:t>
            </w:r>
          </w:p>
          <w:p w:rsidR="00000000" w:rsidRPr="00CA6CE2" w:rsidP="00CA6CE2">
            <w:pPr>
              <w:pStyle w:val="List2"/>
            </w:pPr>
            <w:r w:rsidRPr="00CA6CE2">
              <w:t>2.2.</w:t>
            </w:r>
            <w:r w:rsidRPr="00CA6CE2">
              <w:tab/>
              <w:t>Dispensed ingredients are labelled according to workplace procedure</w:t>
            </w:r>
          </w:p>
          <w:p w:rsidR="00000000" w:rsidRPr="00CA6CE2" w:rsidP="00CA6CE2">
            <w:pPr>
              <w:pStyle w:val="List2"/>
            </w:pPr>
            <w:r w:rsidRPr="00CA6CE2">
              <w:t>2.3.</w:t>
            </w:r>
            <w:r w:rsidRPr="00CA6CE2">
              <w:tab/>
              <w:t>Accuracy of measuring/dispensing equipment is monitored to identify variation in operating conditions</w:t>
            </w:r>
          </w:p>
          <w:p w:rsidR="00000000" w:rsidRPr="00CA6CE2" w:rsidP="00CA6CE2">
            <w:pPr>
              <w:pStyle w:val="List2"/>
            </w:pPr>
            <w:r w:rsidRPr="00CA6CE2">
              <w:t>2.4.</w:t>
            </w:r>
            <w:r w:rsidRPr="00CA6CE2">
              <w:tab/>
              <w:t>Variation in equipment operation is identified and maintena</w:t>
            </w:r>
            <w:r w:rsidRPr="00CA6CE2">
              <w:t>nce requirements are reported according to workplace reporting requirements</w:t>
            </w:r>
          </w:p>
          <w:p w:rsidR="00000000" w:rsidRPr="00CA6CE2" w:rsidP="00CA6CE2">
            <w:pPr>
              <w:pStyle w:val="List2"/>
            </w:pPr>
            <w:r w:rsidRPr="00CA6CE2">
              <w:t>2.5.</w:t>
            </w:r>
            <w:r w:rsidRPr="00CA6CE2">
              <w:tab/>
              <w:t xml:space="preserve">The work area is maintained according to housekeeping standards </w:t>
            </w:r>
          </w:p>
          <w:p w:rsidR="00000000" w:rsidP="00CA6CE2">
            <w:pPr>
              <w:pStyle w:val="List2"/>
              <w:rPr>
                <w:lang w:val="en-NZ"/>
              </w:rPr>
            </w:pPr>
            <w:r w:rsidRPr="00CA6CE2">
              <w:t>2.6.</w:t>
            </w:r>
            <w:r w:rsidRPr="00CA6CE2">
              <w:tab/>
              <w:t>Work is conducted in accordance with workplace environmental guidelines</w:t>
            </w:r>
          </w:p>
        </w:tc>
      </w:tr>
      <w:tr w:rsidTr="0071468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List"/>
              <w:rPr>
                <w:lang w:val="en-NZ"/>
              </w:rPr>
            </w:pPr>
            <w:r w:rsidRPr="00CA6CE2">
              <w:t>3.</w:t>
            </w:r>
            <w:r w:rsidRPr="00CA6CE2">
              <w:tab/>
            </w:r>
            <w:r w:rsidRPr="00CA6CE2">
              <w:t>Shut down the dispensing process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List2"/>
            </w:pPr>
            <w:r w:rsidRPr="00CA6CE2">
              <w:t>3.1.</w:t>
            </w:r>
            <w:r w:rsidRPr="00CA6CE2">
              <w:tab/>
              <w:t>Dispensing equipment is cleaned according to workplace procedure</w:t>
            </w:r>
          </w:p>
          <w:p w:rsidR="00000000" w:rsidRPr="00CA6CE2" w:rsidP="00CA6CE2">
            <w:pPr>
              <w:pStyle w:val="List2"/>
            </w:pPr>
            <w:r w:rsidRPr="00CA6CE2">
              <w:t>3.2.</w:t>
            </w:r>
            <w:r w:rsidRPr="00CA6CE2">
              <w:tab/>
              <w:t>Unacceptable equipment/utensil condition is identified and reported</w:t>
            </w:r>
          </w:p>
          <w:p w:rsidR="00000000" w:rsidRPr="00CA6CE2" w:rsidP="00CA6CE2">
            <w:pPr>
              <w:pStyle w:val="List2"/>
            </w:pPr>
            <w:r w:rsidRPr="00CA6CE2">
              <w:t>3.3.</w:t>
            </w:r>
            <w:r w:rsidRPr="00CA6CE2">
              <w:tab/>
              <w:t>Dispensed materials are recorded and reconciled</w:t>
            </w:r>
          </w:p>
          <w:p w:rsidR="00000000" w:rsidRPr="00CA6CE2" w:rsidP="00CA6CE2">
            <w:pPr>
              <w:pStyle w:val="List2"/>
            </w:pPr>
            <w:r w:rsidRPr="00CA6CE2">
              <w:t>3.4.</w:t>
            </w:r>
            <w:r w:rsidRPr="00CA6CE2">
              <w:tab/>
              <w:t>Maintenance requiremen</w:t>
            </w:r>
            <w:r w:rsidRPr="00CA6CE2">
              <w:t>ts are identified and reported</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9" w:name="O_76019"/>
      <w:bookmarkEnd w:id="9"/>
      <w:r w:rsidRPr="00CA6CE2">
        <w:t>Required Skills and Knowledge</w:t>
      </w:r>
    </w:p>
    <w:tbl>
      <w:tblPr>
        <w:tblW w:w="0" w:type="auto"/>
        <w:tblLayout w:type="fixed"/>
        <w:tblCellMar>
          <w:left w:w="62" w:type="dxa"/>
          <w:right w:w="62" w:type="dxa"/>
        </w:tblCellMar>
        <w:tblLook w:val="0000"/>
      </w:tblPr>
      <w:tblGrid>
        <w:gridCol w:w="8522"/>
      </w:tblGrid>
      <w:tr w:rsidTr="007146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REQUIRED SKILLS AND KNOWLEDGE</w:t>
            </w:r>
          </w:p>
        </w:tc>
      </w:tr>
      <w:tr w:rsidTr="007146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This section describes the skills and knowledge required for this unit.</w:t>
            </w:r>
          </w:p>
        </w:tc>
      </w:tr>
      <w:tr w:rsidTr="007146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Required skills</w:t>
            </w:r>
          </w:p>
        </w:tc>
      </w:tr>
      <w:tr w:rsidTr="007146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rPr>
                <w:rStyle w:val="BoldandItalics"/>
              </w:rPr>
              <w:t>Ability to</w:t>
            </w:r>
            <w:r w:rsidRPr="00CA6CE2">
              <w:t>:</w:t>
            </w:r>
          </w:p>
          <w:p w:rsidR="00000000" w:rsidRPr="00CA6CE2" w:rsidP="00CA6CE2">
            <w:pPr>
              <w:pStyle w:val="ListBullet"/>
            </w:pPr>
            <w:r w:rsidRPr="00CA6CE2">
              <w:t>access workplace information to identify dispensing requirements</w:t>
            </w:r>
          </w:p>
          <w:p w:rsidR="00000000" w:rsidRPr="00CA6CE2" w:rsidP="00CA6CE2">
            <w:pPr>
              <w:pStyle w:val="ListBullet"/>
            </w:pPr>
            <w:r w:rsidRPr="00CA6CE2">
              <w:t xml:space="preserve">select, fit and use personal protective clothing and/or equipment, such as breathing apparatus and fume cabinets as required </w:t>
            </w:r>
          </w:p>
          <w:p w:rsidR="00000000" w:rsidRPr="00CA6CE2" w:rsidP="00CA6CE2">
            <w:pPr>
              <w:pStyle w:val="ListBullet"/>
            </w:pPr>
            <w:r w:rsidRPr="00CA6CE2">
              <w:t>confirm supply of necessary raw materials, such as checking raw material labels and codes, quantity and quality clearance</w:t>
            </w:r>
          </w:p>
          <w:p w:rsidR="00000000" w:rsidRPr="00CA6CE2" w:rsidP="00CA6CE2">
            <w:pPr>
              <w:pStyle w:val="ListBullet"/>
            </w:pPr>
            <w:r w:rsidRPr="00CA6CE2">
              <w:t>conduct pre-start checks on equipment, such as inspecting the condition and cleanliness of equipment and utensils, taring scales and c</w:t>
            </w:r>
            <w:r w:rsidRPr="00CA6CE2">
              <w:t xml:space="preserve">arrying out any related procedures to confirm that equipment is accurately calibrated and fit for use </w:t>
            </w:r>
          </w:p>
          <w:p w:rsidR="00000000" w:rsidRPr="00CA6CE2" w:rsidP="00CA6CE2">
            <w:pPr>
              <w:pStyle w:val="ListBullet"/>
            </w:pPr>
            <w:r w:rsidRPr="00CA6CE2">
              <w:t>measure materials and additives within specified accuracy range to meet batch requirements</w:t>
            </w:r>
          </w:p>
          <w:p w:rsidR="00000000" w:rsidRPr="00CA6CE2" w:rsidP="00CA6CE2">
            <w:pPr>
              <w:pStyle w:val="ListBullet"/>
            </w:pPr>
            <w:r w:rsidRPr="00CA6CE2">
              <w:t>calculate assay/potency adjustment</w:t>
            </w:r>
          </w:p>
          <w:p w:rsidR="00000000" w:rsidRPr="00CA6CE2" w:rsidP="00CA6CE2">
            <w:pPr>
              <w:pStyle w:val="ListBullet"/>
            </w:pPr>
            <w:r w:rsidRPr="00CA6CE2">
              <w:t>verify accuracy of raw mate</w:t>
            </w:r>
            <w:r w:rsidRPr="00CA6CE2">
              <w:t xml:space="preserve">rials dispensed with raw materials records </w:t>
            </w:r>
          </w:p>
          <w:p w:rsidR="00000000" w:rsidRPr="00CA6CE2" w:rsidP="00CA6CE2">
            <w:pPr>
              <w:pStyle w:val="ListBullet"/>
            </w:pPr>
            <w:r w:rsidRPr="00CA6CE2">
              <w:t>take corrective action in response to out-of-specification results</w:t>
            </w:r>
          </w:p>
          <w:p w:rsidR="00000000" w:rsidRPr="00CA6CE2" w:rsidP="00CA6CE2">
            <w:pPr>
              <w:pStyle w:val="ListBullet"/>
            </w:pPr>
            <w:r w:rsidRPr="00CA6CE2">
              <w:t xml:space="preserve">pace dispensing to meet production requirements </w:t>
            </w:r>
          </w:p>
          <w:p w:rsidR="00000000" w:rsidRPr="00CA6CE2" w:rsidP="00CA6CE2">
            <w:pPr>
              <w:pStyle w:val="ListBullet"/>
            </w:pPr>
            <w:r w:rsidRPr="00CA6CE2">
              <w:t>pack and label dispensed materials as required</w:t>
            </w:r>
          </w:p>
          <w:p w:rsidR="00000000" w:rsidRPr="00CA6CE2" w:rsidP="00CA6CE2">
            <w:pPr>
              <w:pStyle w:val="ListBullet"/>
            </w:pPr>
            <w:r w:rsidRPr="00CA6CE2">
              <w:t xml:space="preserve">follow labelling procedures </w:t>
            </w:r>
          </w:p>
          <w:p w:rsidR="00000000" w:rsidRPr="00CA6CE2" w:rsidP="00CA6CE2">
            <w:pPr>
              <w:pStyle w:val="ListBullet"/>
            </w:pPr>
            <w:r w:rsidRPr="00CA6CE2">
              <w:t>reconcile and record</w:t>
            </w:r>
            <w:r w:rsidRPr="00CA6CE2">
              <w:t xml:space="preserve"> materials dispensed against materials released and return unused materials to storage as required</w:t>
            </w:r>
          </w:p>
          <w:p w:rsidR="00000000" w:rsidRPr="00CA6CE2" w:rsidP="00CA6CE2">
            <w:pPr>
              <w:pStyle w:val="ListBullet"/>
            </w:pPr>
            <w:r w:rsidRPr="00CA6CE2">
              <w:t>stack dispensed materials for transfer to designated location ensuring required material segregation</w:t>
            </w:r>
          </w:p>
          <w:p w:rsidR="00000000" w:rsidRPr="00CA6CE2" w:rsidP="00CA6CE2">
            <w:pPr>
              <w:pStyle w:val="ListBullet"/>
            </w:pPr>
            <w:r w:rsidRPr="00CA6CE2">
              <w:t>handle containers according to workplace procedures to m</w:t>
            </w:r>
            <w:r w:rsidRPr="00CA6CE2">
              <w:t>aintain integrity of materials</w:t>
            </w:r>
          </w:p>
          <w:p w:rsidR="00000000" w:rsidRPr="00CA6CE2" w:rsidP="00CA6CE2">
            <w:pPr>
              <w:pStyle w:val="ListBullet"/>
            </w:pPr>
            <w:r w:rsidRPr="00CA6CE2">
              <w:t>clean dispensing equipment and utensils according to workplace procedures</w:t>
            </w:r>
          </w:p>
          <w:p w:rsidR="00000000" w:rsidRPr="00CA6CE2" w:rsidP="00CA6CE2">
            <w:pPr>
              <w:pStyle w:val="ListBullet"/>
            </w:pPr>
            <w:r w:rsidRPr="00CA6CE2">
              <w:t>respond to and/or report equipment failure within level of responsibility</w:t>
            </w:r>
          </w:p>
          <w:p w:rsidR="00000000" w:rsidRPr="00CA6CE2" w:rsidP="00CA6CE2">
            <w:pPr>
              <w:pStyle w:val="ListBullet"/>
            </w:pPr>
            <w:r w:rsidRPr="00CA6CE2">
              <w:t>complete dispensing records as required by workplace recording system</w:t>
            </w:r>
          </w:p>
          <w:p w:rsidR="00000000" w:rsidRPr="00CA6CE2" w:rsidP="00CA6CE2">
            <w:pPr>
              <w:pStyle w:val="ListBullet"/>
            </w:pPr>
            <w:r w:rsidRPr="00CA6CE2">
              <w:t>maintai</w:t>
            </w:r>
            <w:r w:rsidRPr="00CA6CE2">
              <w:t>n work area to meet housekeeping standards</w:t>
            </w:r>
          </w:p>
          <w:p w:rsidR="00000000" w:rsidRPr="00CA6CE2" w:rsidP="00CA6CE2">
            <w:pPr>
              <w:pStyle w:val="ListBullet"/>
            </w:pPr>
            <w:r w:rsidRPr="00CA6CE2">
              <w:t>collect samples and conduct test according to enterprise procedures</w:t>
            </w:r>
          </w:p>
          <w:p w:rsidR="00000000" w:rsidRPr="00CA6CE2" w:rsidP="00CA6CE2">
            <w:pPr>
              <w:pStyle w:val="ListBullet"/>
            </w:pPr>
            <w:r w:rsidRPr="00CA6CE2">
              <w:t>use oral communication skills/language competence to fulfil the job role as specified by the organisation, including questioning, active listenin</w:t>
            </w:r>
            <w:r w:rsidRPr="00CA6CE2">
              <w:t>g, asking for clarification and seeking advice from supervisor</w:t>
            </w:r>
          </w:p>
          <w:p w:rsidR="00000000" w:rsidP="00CA6CE2">
            <w:pPr>
              <w:pStyle w:val="ListBullet"/>
              <w:rPr>
                <w:lang w:val="en-NZ"/>
              </w:rPr>
            </w:pPr>
            <w:r w:rsidRPr="00CA6CE2">
              <w:t>work cooperatively within a culturally diverse workforce</w:t>
            </w:r>
          </w:p>
        </w:tc>
      </w:tr>
      <w:tr w:rsidTr="007146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Required knowledge</w:t>
            </w:r>
          </w:p>
        </w:tc>
      </w:tr>
      <w:tr w:rsidTr="007146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rPr>
                <w:rStyle w:val="BoldandItalics"/>
              </w:rPr>
              <w:t>Knowledge of</w:t>
            </w:r>
            <w:r w:rsidRPr="00CA6CE2">
              <w:t>:</w:t>
            </w:r>
          </w:p>
          <w:p w:rsidR="00000000" w:rsidRPr="00CA6CE2" w:rsidP="00CA6CE2">
            <w:pPr>
              <w:pStyle w:val="ListBullet"/>
            </w:pPr>
            <w:r w:rsidRPr="00CA6CE2">
              <w:t xml:space="preserve">purpose and basic principles of the dispensing process, including the characteristics </w:t>
            </w:r>
            <w:r w:rsidRPr="00CA6CE2">
              <w:t>of raw materials and related handling requirements</w:t>
            </w:r>
          </w:p>
          <w:p w:rsidR="00000000" w:rsidRPr="00CA6CE2" w:rsidP="00CA6CE2">
            <w:pPr>
              <w:pStyle w:val="ListBullet"/>
            </w:pPr>
            <w:r w:rsidRPr="00CA6CE2">
              <w:t>dangerous goods handling requirements and procedures</w:t>
            </w:r>
          </w:p>
          <w:p w:rsidR="00000000" w:rsidRPr="00CA6CE2" w:rsidP="00CA6CE2">
            <w:pPr>
              <w:pStyle w:val="ListBullet"/>
            </w:pPr>
            <w:r w:rsidRPr="00CA6CE2">
              <w:t>relevant legislative responsibilities and workplace systems for recording information on dispensed pharmaceutical materials and related workplace coding</w:t>
            </w:r>
            <w:r w:rsidRPr="00CA6CE2">
              <w:t xml:space="preserve"> and labelling systems and purpose</w:t>
            </w:r>
          </w:p>
          <w:p w:rsidR="00000000" w:rsidRPr="00CA6CE2" w:rsidP="00CA6CE2">
            <w:pPr>
              <w:pStyle w:val="ListBullet"/>
            </w:pPr>
            <w:r w:rsidRPr="00CA6CE2">
              <w:t xml:space="preserve">the relationship between the dispensing process and related operations, including an understanding of accuracy/tolerance and consequence of error </w:t>
            </w:r>
          </w:p>
          <w:p w:rsidR="00000000" w:rsidRPr="00CA6CE2" w:rsidP="00CA6CE2">
            <w:pPr>
              <w:pStyle w:val="ListBullet"/>
            </w:pPr>
            <w:r w:rsidRPr="00CA6CE2">
              <w:t>purpose, measuring/accuracy capacity of instrumentation and related equipm</w:t>
            </w:r>
            <w:r w:rsidRPr="00CA6CE2">
              <w:t>ent calibration responsibilities and procedures</w:t>
            </w:r>
          </w:p>
          <w:p w:rsidR="00000000" w:rsidRPr="00CA6CE2" w:rsidP="00CA6CE2">
            <w:pPr>
              <w:pStyle w:val="ListBullet"/>
            </w:pPr>
            <w:r w:rsidRPr="00CA6CE2">
              <w:t>control points in the dispensing process</w:t>
            </w:r>
          </w:p>
          <w:p w:rsidR="00000000" w:rsidRPr="00CA6CE2" w:rsidP="00CA6CE2">
            <w:pPr>
              <w:pStyle w:val="ListBullet"/>
            </w:pPr>
            <w:r w:rsidRPr="00CA6CE2">
              <w:t>procedures for calculating assay and adjusting potency</w:t>
            </w:r>
          </w:p>
          <w:p w:rsidR="00000000" w:rsidRPr="00CA6CE2" w:rsidP="00CA6CE2">
            <w:pPr>
              <w:pStyle w:val="ListBullet"/>
            </w:pPr>
            <w:r w:rsidRPr="00CA6CE2">
              <w:t>raw materials reconciliation purpose and procedures, such as reconciliation of S8 materials</w:t>
            </w:r>
          </w:p>
          <w:p w:rsidR="00000000" w:rsidRPr="00CA6CE2" w:rsidP="00CA6CE2">
            <w:pPr>
              <w:pStyle w:val="ListBullet"/>
            </w:pPr>
            <w:r w:rsidRPr="00CA6CE2">
              <w:t>GMP requirements ass</w:t>
            </w:r>
            <w:r w:rsidRPr="00CA6CE2">
              <w:t>ociated with the dispensing process and related control measures</w:t>
            </w:r>
          </w:p>
          <w:p w:rsidR="00000000" w:rsidRPr="00CA6CE2" w:rsidP="00CA6CE2">
            <w:pPr>
              <w:pStyle w:val="ListBullet"/>
            </w:pPr>
            <w:r w:rsidRPr="00CA6CE2">
              <w:t>procedures for requisitioning, receiving and returning ingredients from stores</w:t>
            </w:r>
          </w:p>
          <w:p w:rsidR="00000000" w:rsidRPr="00CA6CE2" w:rsidP="00CA6CE2">
            <w:pPr>
              <w:pStyle w:val="ListBullet"/>
            </w:pPr>
            <w:r w:rsidRPr="00CA6CE2">
              <w:t xml:space="preserve">typical equipment faults and related causes, including signs and symptoms of faulty equipment and early warning </w:t>
            </w:r>
            <w:r w:rsidRPr="00CA6CE2">
              <w:t>signs of potential problems</w:t>
            </w:r>
          </w:p>
          <w:p w:rsidR="00000000" w:rsidRPr="00CA6CE2" w:rsidP="00CA6CE2">
            <w:pPr>
              <w:pStyle w:val="ListBullet"/>
            </w:pPr>
            <w:r w:rsidRPr="00CA6CE2">
              <w:t>occupational health and safety (OHS) hazards and controls, including the limitations of protective clothing and equipment relevant to the work process</w:t>
            </w:r>
          </w:p>
          <w:p w:rsidR="00000000" w:rsidRPr="00CA6CE2" w:rsidP="00CA6CE2">
            <w:pPr>
              <w:pStyle w:val="ListBullet"/>
            </w:pPr>
            <w:r w:rsidRPr="00CA6CE2">
              <w:t>cleaning, care and storage of equipment and instrumentation used</w:t>
            </w:r>
          </w:p>
          <w:p w:rsidR="00000000" w:rsidRPr="00CA6CE2" w:rsidP="00CA6CE2">
            <w:pPr>
              <w:pStyle w:val="ListBullet"/>
            </w:pPr>
            <w:r w:rsidRPr="00CA6CE2">
              <w:t>procedures and responsibility for reporting production and performance information</w:t>
            </w:r>
          </w:p>
          <w:p w:rsidR="00000000" w:rsidRPr="00CA6CE2" w:rsidP="00CA6CE2">
            <w:pPr>
              <w:pStyle w:val="ListBullet"/>
            </w:pPr>
            <w:r w:rsidRPr="00CA6CE2">
              <w:t xml:space="preserve">environmental issues and controls relevant to the dispensing process, including waste/rework collection and handling procedures related to the process </w:t>
            </w:r>
          </w:p>
          <w:p w:rsidR="00000000" w:rsidRPr="00CA6CE2" w:rsidP="00CA6CE2">
            <w:pPr>
              <w:pStyle w:val="ListBullet"/>
            </w:pPr>
            <w:r w:rsidRPr="00CA6CE2">
              <w:t xml:space="preserve">sampling and testing </w:t>
            </w:r>
            <w:r w:rsidRPr="00CA6CE2">
              <w:t>associated with process monitoring and control where relevant</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10" w:name="O_76020"/>
      <w:bookmarkEnd w:id="10"/>
      <w:r w:rsidRPr="00CA6CE2">
        <w:t>Evidence Guide</w:t>
      </w:r>
    </w:p>
    <w:tbl>
      <w:tblPr>
        <w:tblW w:w="9570" w:type="dxa"/>
        <w:tblLayout w:type="fixed"/>
        <w:tblCellMar>
          <w:left w:w="62" w:type="dxa"/>
          <w:right w:w="62" w:type="dxa"/>
        </w:tblCellMar>
        <w:tblLook w:val="0000"/>
      </w:tblPr>
      <w:tblGrid>
        <w:gridCol w:w="3908"/>
        <w:gridCol w:w="5662"/>
      </w:tblGrid>
      <w:tr w:rsidTr="007146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EVIDENCE GUIDE</w:t>
            </w:r>
          </w:p>
        </w:tc>
      </w:tr>
      <w:tr w:rsidTr="007146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 xml:space="preserve">The Evidence Guide provides advice on assessment and must be read in conjunction with the performance criteria, required skills and knowledge, </w:t>
            </w:r>
            <w:r w:rsidRPr="00CA6CE2">
              <w:t>range statement and the Assessment Guidelines for the Training Package.</w:t>
            </w:r>
          </w:p>
        </w:tc>
      </w:tr>
      <w:tr w:rsidTr="007146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Assessment must be carried out in a manner that recognises the cultural and literacy requirements of the assessee and is appropriate to the work performed. Com</w:t>
            </w:r>
            <w:r w:rsidRPr="00CA6CE2">
              <w:t>petence in this unit must be achieved in accordance with food safety standards and regulations.</w:t>
            </w:r>
          </w:p>
        </w:tc>
      </w:tr>
      <w:tr w:rsidTr="007146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Evidence of ability to:</w:t>
            </w:r>
          </w:p>
          <w:p w:rsidR="00000000" w:rsidRPr="00CA6CE2" w:rsidP="00CA6CE2">
            <w:pPr>
              <w:pStyle w:val="ListBullet"/>
            </w:pPr>
            <w:r w:rsidRPr="00CA6CE2">
              <w:t>weigh and measure materials to achieve re</w:t>
            </w:r>
            <w:r w:rsidRPr="00CA6CE2">
              <w:t>quired quantities</w:t>
            </w:r>
          </w:p>
          <w:p w:rsidR="00000000" w:rsidRPr="00CA6CE2" w:rsidP="00CA6CE2">
            <w:pPr>
              <w:pStyle w:val="ListBullet"/>
            </w:pPr>
            <w:r w:rsidRPr="00CA6CE2">
              <w:t>start, operate, monitor and adjust dispensing equipment to achieve required quality outcomes</w:t>
            </w:r>
          </w:p>
          <w:p w:rsidR="00000000" w:rsidRPr="00CA6CE2" w:rsidP="00CA6CE2">
            <w:pPr>
              <w:pStyle w:val="ListBullet"/>
            </w:pPr>
            <w:r w:rsidRPr="00CA6CE2">
              <w:t>take corrective action in response to typical faults and inconsistencies</w:t>
            </w:r>
          </w:p>
          <w:p w:rsidR="00000000" w:rsidRPr="00CA6CE2" w:rsidP="00CA6CE2">
            <w:pPr>
              <w:pStyle w:val="ListBullet"/>
            </w:pPr>
            <w:r w:rsidRPr="00CA6CE2">
              <w:t>complete workplace records as required</w:t>
            </w:r>
          </w:p>
          <w:p w:rsidR="00000000" w:rsidRPr="00CA6CE2" w:rsidP="00CA6CE2">
            <w:pPr>
              <w:pStyle w:val="ListBullet"/>
            </w:pPr>
            <w:r w:rsidRPr="00CA6CE2">
              <w:t>apply safe work practices and identify OHS hazards and controls</w:t>
            </w:r>
          </w:p>
          <w:p w:rsidR="00000000" w:rsidP="00CA6CE2">
            <w:pPr>
              <w:pStyle w:val="ListBullet"/>
              <w:rPr>
                <w:lang w:val="en-NZ"/>
              </w:rPr>
            </w:pPr>
            <w:r w:rsidRPr="00CA6CE2">
              <w:t>apply food safety procedures to work practices.</w:t>
            </w:r>
          </w:p>
        </w:tc>
      </w:tr>
      <w:tr w:rsidTr="007146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Assessment must occur in a real or simulated workplace where assessee has access to:</w:t>
            </w:r>
          </w:p>
          <w:p w:rsidR="00000000" w:rsidRPr="00CA6CE2" w:rsidP="00CA6CE2">
            <w:pPr>
              <w:pStyle w:val="ListBullet"/>
            </w:pPr>
            <w:r w:rsidRPr="00CA6CE2">
              <w:t>personal</w:t>
            </w:r>
            <w:r w:rsidRPr="00CA6CE2">
              <w:t xml:space="preserve"> protective clothing and equipment</w:t>
            </w:r>
          </w:p>
          <w:p w:rsidR="00000000" w:rsidRPr="00CA6CE2" w:rsidP="00CA6CE2">
            <w:pPr>
              <w:pStyle w:val="ListBullet"/>
            </w:pPr>
            <w:r w:rsidRPr="00CA6CE2">
              <w:t>work procedures, including advice on safe work practices, GMP, SOPs and environmental requirements</w:t>
            </w:r>
          </w:p>
          <w:p w:rsidR="00000000" w:rsidRPr="00CA6CE2" w:rsidP="00CA6CE2">
            <w:pPr>
              <w:pStyle w:val="ListBullet"/>
            </w:pPr>
            <w:r w:rsidRPr="00CA6CE2">
              <w:t>information on equipment capacity and operating parameters</w:t>
            </w:r>
          </w:p>
          <w:p w:rsidR="00000000" w:rsidRPr="00CA6CE2" w:rsidP="00CA6CE2">
            <w:pPr>
              <w:pStyle w:val="ListBullet"/>
            </w:pPr>
            <w:r w:rsidRPr="00CA6CE2">
              <w:t>dispensing schedule, batch instructions</w:t>
            </w:r>
          </w:p>
          <w:p w:rsidR="00000000" w:rsidRPr="00CA6CE2" w:rsidP="00CA6CE2">
            <w:pPr>
              <w:pStyle w:val="ListBullet"/>
            </w:pPr>
            <w:r w:rsidRPr="00CA6CE2">
              <w:t>specifications, control</w:t>
            </w:r>
            <w:r w:rsidRPr="00CA6CE2">
              <w:t xml:space="preserve"> points and processing parameters</w:t>
            </w:r>
          </w:p>
          <w:p w:rsidR="00000000" w:rsidRPr="00CA6CE2" w:rsidP="00CA6CE2">
            <w:pPr>
              <w:pStyle w:val="ListBullet"/>
            </w:pPr>
            <w:r w:rsidRPr="00CA6CE2">
              <w:t>dispensing process and related equipment and services</w:t>
            </w:r>
          </w:p>
          <w:p w:rsidR="00000000" w:rsidRPr="00CA6CE2" w:rsidP="00CA6CE2">
            <w:pPr>
              <w:pStyle w:val="ListBullet"/>
            </w:pPr>
            <w:r w:rsidRPr="00CA6CE2">
              <w:t>materials required for the dispensing process</w:t>
            </w:r>
          </w:p>
          <w:p w:rsidR="00000000" w:rsidRPr="00CA6CE2" w:rsidP="00CA6CE2">
            <w:pPr>
              <w:pStyle w:val="ListBullet"/>
            </w:pPr>
            <w:r w:rsidRPr="00CA6CE2">
              <w:t>containers/bags, labelling and storage facilities</w:t>
            </w:r>
          </w:p>
          <w:p w:rsidR="00000000" w:rsidRPr="00CA6CE2" w:rsidP="00CA6CE2">
            <w:pPr>
              <w:pStyle w:val="ListBullet"/>
            </w:pPr>
            <w:r w:rsidRPr="00CA6CE2">
              <w:t>sampling schedules and test procedures and equipment as required</w:t>
            </w:r>
          </w:p>
          <w:p w:rsidR="00000000" w:rsidRPr="00CA6CE2" w:rsidP="00CA6CE2">
            <w:pPr>
              <w:pStyle w:val="ListBullet"/>
            </w:pPr>
            <w:r w:rsidRPr="00CA6CE2">
              <w:t>documentation and recording requirements and procedures</w:t>
            </w:r>
          </w:p>
          <w:p w:rsidR="00000000" w:rsidP="00CA6CE2">
            <w:pPr>
              <w:pStyle w:val="ListBullet"/>
              <w:rPr>
                <w:lang w:val="en-NZ"/>
              </w:rPr>
            </w:pPr>
            <w:r w:rsidRPr="00CA6CE2">
              <w:t>cleaning procedures, materials and equipment as required.</w:t>
            </w:r>
          </w:p>
        </w:tc>
      </w:tr>
      <w:tr w:rsidTr="007146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This unit should be assessed together with core units and other units of competency relevant to the function or work rol</w:t>
            </w:r>
            <w:r w:rsidRPr="00CA6CE2">
              <w:t>e. Examples could be:</w:t>
            </w:r>
          </w:p>
          <w:p w:rsidR="00000000" w:rsidRPr="00CA6CE2" w:rsidP="00CA6CE2">
            <w:pPr>
              <w:pStyle w:val="ListBullet"/>
            </w:pPr>
            <w:r w:rsidRPr="00CA6CE2">
              <w:t>FDFOP2004A Clean and sanitise equipment</w:t>
            </w:r>
          </w:p>
          <w:p w:rsidR="00000000" w:rsidRPr="00CA6CE2" w:rsidP="00CA6CE2">
            <w:pPr>
              <w:pStyle w:val="ListBullet"/>
            </w:pPr>
            <w:r w:rsidRPr="00CA6CE2">
              <w:t>FDFOP2013A Apply sampling procedures</w:t>
            </w:r>
          </w:p>
          <w:p w:rsidR="00000000" w:rsidP="00CA6CE2">
            <w:pPr>
              <w:pStyle w:val="ListBullet"/>
              <w:rPr>
                <w:lang w:val="en-NZ"/>
              </w:rPr>
            </w:pPr>
            <w:r w:rsidRPr="00CA6CE2">
              <w:t>MSL973001A Perform basic tests.</w:t>
            </w:r>
          </w:p>
        </w:tc>
      </w:tr>
      <w:tr w:rsidTr="007146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To ensure consistency in one's performance, competency should be demonstrated on more t</w:t>
            </w:r>
            <w:r w:rsidRPr="00CA6CE2">
              <w:t>han one occasion over a period of time in order to cover a variety of circumstances, cases and responsibilities, and where possible, over a number of assessment activities.</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11" w:name="O_76021"/>
      <w:bookmarkEnd w:id="11"/>
      <w:r w:rsidRPr="00CA6CE2">
        <w:t>Range Statement</w:t>
      </w:r>
    </w:p>
    <w:tbl>
      <w:tblPr>
        <w:tblW w:w="0" w:type="auto"/>
        <w:tblLayout w:type="fixed"/>
        <w:tblCellMar>
          <w:left w:w="62" w:type="dxa"/>
          <w:right w:w="62" w:type="dxa"/>
        </w:tblCellMar>
        <w:tblLook w:val="0000"/>
      </w:tblPr>
      <w:tblGrid>
        <w:gridCol w:w="3449"/>
        <w:gridCol w:w="5073"/>
      </w:tblGrid>
      <w:tr w:rsidTr="007146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RANGE STATEMENT</w:t>
            </w:r>
          </w:p>
        </w:tc>
      </w:tr>
      <w:tr w:rsidTr="007146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The range statement relates to the unit of competency as a whole. It allows for different work environments and situations that may affect performance. Bold italicised wording, if used in the performance criteria, is detailed below. Essential operating con</w:t>
            </w:r>
            <w:r w:rsidRPr="00CA6CE2">
              <w:t>ditions that may be present with training and assessment (depending on the work situation, needs of the candidate, accessibility of the item, and local industry and regional contexts) may also be included.</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Policies and procedures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t>Work is carried out acco</w:t>
            </w:r>
            <w:r w:rsidRPr="00CA6CE2">
              <w:t>rding to company policies and procedures, regulatory and licensing requirements, legislative requirements, and industrial awards and agreements</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Legislative requirements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Legislative requirements are typically reflected in procedures and specifications. Legislation relevant to this industry includes:</w:t>
            </w:r>
          </w:p>
          <w:p w:rsidR="00000000" w:rsidRPr="00CA6CE2" w:rsidP="00CA6CE2">
            <w:pPr>
              <w:pStyle w:val="ListBullet"/>
            </w:pPr>
            <w:r w:rsidRPr="00CA6CE2">
              <w:t>relevant Good Manufacturing Practice (GMP) codes</w:t>
            </w:r>
          </w:p>
          <w:p w:rsidR="00000000" w:rsidRPr="00CA6CE2" w:rsidP="00CA6CE2">
            <w:pPr>
              <w:pStyle w:val="ListBullet"/>
            </w:pPr>
            <w:r w:rsidRPr="00CA6CE2">
              <w:t>the Therapeutic Goods Act and/or other relevant legislation</w:t>
            </w:r>
          </w:p>
          <w:p w:rsidR="00000000" w:rsidP="00CA6CE2">
            <w:pPr>
              <w:pStyle w:val="ListBullet"/>
              <w:rPr>
                <w:lang w:val="en-NZ"/>
              </w:rPr>
            </w:pPr>
            <w:r w:rsidRPr="00CA6CE2">
              <w:t>legislation cov</w:t>
            </w:r>
            <w:r w:rsidRPr="00CA6CE2">
              <w:t xml:space="preserve">ering environmental management, OHS, anti-discrimination and equal opportunity </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Workplace information</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Workplace information may include:</w:t>
            </w:r>
          </w:p>
          <w:p w:rsidR="00000000" w:rsidRPr="00CA6CE2" w:rsidP="00CA6CE2">
            <w:pPr>
              <w:pStyle w:val="ListBullet"/>
            </w:pPr>
            <w:r w:rsidRPr="00CA6CE2">
              <w:t>standard operating procedures (SOPs)</w:t>
            </w:r>
          </w:p>
          <w:p w:rsidR="00000000" w:rsidRPr="00CA6CE2" w:rsidP="00CA6CE2">
            <w:pPr>
              <w:pStyle w:val="ListBullet"/>
            </w:pPr>
            <w:r w:rsidRPr="00CA6CE2">
              <w:t>specifications</w:t>
            </w:r>
          </w:p>
          <w:p w:rsidR="00000000" w:rsidRPr="00CA6CE2" w:rsidP="00CA6CE2">
            <w:pPr>
              <w:pStyle w:val="ListBullet"/>
            </w:pPr>
            <w:r w:rsidRPr="00CA6CE2">
              <w:t>production/dispensing schedules and instructions</w:t>
            </w:r>
          </w:p>
          <w:p w:rsidR="00000000" w:rsidRPr="00CA6CE2" w:rsidP="00CA6CE2">
            <w:pPr>
              <w:pStyle w:val="ListBullet"/>
            </w:pPr>
            <w:r w:rsidRPr="00CA6CE2">
              <w:t>batch/recipe ins</w:t>
            </w:r>
            <w:r w:rsidRPr="00CA6CE2">
              <w:t>tructions</w:t>
            </w:r>
          </w:p>
          <w:p w:rsidR="00000000" w:rsidRPr="00CA6CE2" w:rsidP="00CA6CE2">
            <w:pPr>
              <w:pStyle w:val="ListBullet"/>
            </w:pPr>
            <w:r w:rsidRPr="00CA6CE2">
              <w:t>manufacturers' advice</w:t>
            </w:r>
          </w:p>
          <w:p w:rsidR="00000000" w:rsidP="00CA6CE2">
            <w:pPr>
              <w:pStyle w:val="ListBullet"/>
              <w:rPr>
                <w:lang w:val="en-NZ"/>
              </w:rPr>
            </w:pPr>
            <w:r w:rsidRPr="00CA6CE2">
              <w:t>standard forms and reports</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Dispensing equipment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Dispensing equipment may include:</w:t>
            </w:r>
          </w:p>
          <w:p w:rsidR="00000000" w:rsidRPr="00CA6CE2" w:rsidP="00CA6CE2">
            <w:pPr>
              <w:pStyle w:val="ListBullet"/>
            </w:pPr>
            <w:r w:rsidRPr="00CA6CE2">
              <w:t>scales</w:t>
            </w:r>
          </w:p>
          <w:p w:rsidR="00000000" w:rsidRPr="00CA6CE2" w:rsidP="00CA6CE2">
            <w:pPr>
              <w:pStyle w:val="ListBullet"/>
            </w:pPr>
            <w:r w:rsidRPr="00CA6CE2">
              <w:t>pipettes</w:t>
            </w:r>
          </w:p>
          <w:p w:rsidR="00000000" w:rsidRPr="00CA6CE2" w:rsidP="00CA6CE2">
            <w:pPr>
              <w:pStyle w:val="ListBullet"/>
            </w:pPr>
            <w:r w:rsidRPr="00CA6CE2">
              <w:t>calibrated measuring containers</w:t>
            </w:r>
          </w:p>
          <w:p w:rsidR="00000000" w:rsidRPr="00CA6CE2" w:rsidP="00CA6CE2">
            <w:pPr>
              <w:pStyle w:val="ListBullet"/>
            </w:pPr>
            <w:r w:rsidRPr="00CA6CE2">
              <w:t>fume cabinets</w:t>
            </w:r>
          </w:p>
          <w:p w:rsidR="00000000" w:rsidP="00CA6CE2">
            <w:pPr>
              <w:pStyle w:val="ListBullet"/>
              <w:rPr>
                <w:lang w:val="en-NZ"/>
              </w:rPr>
            </w:pPr>
            <w:r w:rsidRPr="00CA6CE2">
              <w:t>labels/printers and related dispensary instrumentation</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Raw materials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Raw materials may include:</w:t>
            </w:r>
          </w:p>
          <w:p w:rsidR="00000000" w:rsidP="00CA6CE2">
            <w:pPr>
              <w:pStyle w:val="ListBullet"/>
              <w:rPr>
                <w:lang w:val="en-NZ"/>
              </w:rPr>
            </w:pPr>
            <w:r w:rsidRPr="00CA6CE2">
              <w:t xml:space="preserve">drugs of addiction classified as S8 </w:t>
            </w:r>
          </w:p>
        </w:tc>
      </w:tr>
      <w:tr w:rsidTr="00714687">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Operation of equipment and processes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Operation of equipment and processes may require:</w:t>
            </w:r>
          </w:p>
          <w:p w:rsidR="00000000" w:rsidRPr="00CA6CE2" w:rsidP="00CA6CE2">
            <w:pPr>
              <w:pStyle w:val="ListBullet"/>
            </w:pPr>
            <w:r w:rsidRPr="00CA6CE2">
              <w:t>the use of process control panels and systems</w:t>
            </w:r>
          </w:p>
        </w:tc>
      </w:tr>
    </w:tbl>
    <w:p w:rsidR="00714687" w:rsidP="00CA6CE2">
      <w:pPr>
        <w:pStyle w:val="BodyText"/>
      </w:pPr>
    </w:p>
    <w:p w:rsidR="00714687" w:rsidP="00CA6CE2">
      <w:pPr>
        <w:pStyle w:val="BodyText"/>
      </w:pPr>
    </w:p>
    <w:p w:rsidR="00000000" w:rsidRPr="00CA6CE2" w:rsidP="00CA6CE2">
      <w:pPr>
        <w:pStyle w:val="Heading1"/>
      </w:pPr>
      <w:bookmarkStart w:id="12" w:name="O_76022"/>
      <w:bookmarkEnd w:id="12"/>
      <w:r w:rsidRPr="00CA6CE2">
        <w:t>Unit Sector(s)</w:t>
      </w:r>
    </w:p>
    <w:tbl>
      <w:tblPr>
        <w:tblW w:w="0" w:type="auto"/>
        <w:tblLayout w:type="fixed"/>
        <w:tblCellMar>
          <w:left w:w="62" w:type="dxa"/>
          <w:right w:w="62" w:type="dxa"/>
        </w:tblCellMar>
        <w:tblLook w:val="0000"/>
      </w:tblPr>
      <w:tblGrid>
        <w:gridCol w:w="2592"/>
        <w:gridCol w:w="5930"/>
      </w:tblGrid>
      <w:tr w:rsidTr="00714687">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r w:rsidRPr="00CA6CE2">
              <w:t>Pharmaceutical manufacturing</w:t>
            </w: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13" w:name="O_155911"/>
      <w:bookmarkEnd w:id="13"/>
      <w:r w:rsidRPr="00CA6CE2">
        <w:t>Competency field</w:t>
      </w:r>
    </w:p>
    <w:tbl>
      <w:tblPr>
        <w:tblW w:w="0" w:type="auto"/>
        <w:tblLayout w:type="fixed"/>
        <w:tblCellMar>
          <w:left w:w="62" w:type="dxa"/>
          <w:right w:w="62" w:type="dxa"/>
        </w:tblCellMar>
        <w:tblLook w:val="0000"/>
      </w:tblPr>
      <w:tblGrid>
        <w:gridCol w:w="2784"/>
        <w:gridCol w:w="5738"/>
      </w:tblGrid>
      <w:tr w:rsidTr="007146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p>
        </w:tc>
      </w:tr>
    </w:tbl>
    <w:p w:rsidR="00000000" w:rsidRPr="00CA6CE2" w:rsidP="00CA6CE2">
      <w:pPr>
        <w:pStyle w:val="BodyText"/>
      </w:pPr>
    </w:p>
    <w:p w:rsidR="00000000" w:rsidRPr="00CA6CE2" w:rsidP="00CA6CE2">
      <w:pPr>
        <w:pStyle w:val="AllowPageBreak"/>
      </w:pPr>
    </w:p>
    <w:p w:rsidR="00000000" w:rsidRPr="00CA6CE2" w:rsidP="00CA6CE2">
      <w:pPr>
        <w:pStyle w:val="Heading1"/>
      </w:pPr>
      <w:bookmarkStart w:id="14" w:name="O_155910"/>
      <w:bookmarkEnd w:id="14"/>
      <w:r w:rsidRPr="00CA6CE2">
        <w:t>Co-requisite units</w:t>
      </w:r>
    </w:p>
    <w:tbl>
      <w:tblPr>
        <w:tblW w:w="0" w:type="auto"/>
        <w:tblLayout w:type="fixed"/>
        <w:tblCellMar>
          <w:left w:w="62" w:type="dxa"/>
          <w:right w:w="62" w:type="dxa"/>
        </w:tblCellMar>
        <w:tblLook w:val="0000"/>
      </w:tblPr>
      <w:tblGrid>
        <w:gridCol w:w="2641"/>
        <w:gridCol w:w="1322"/>
        <w:gridCol w:w="4559"/>
      </w:tblGrid>
      <w:tr w:rsidTr="007146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r w:rsidRPr="00CA6C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p>
        </w:tc>
      </w:tr>
      <w:tr w:rsidTr="007146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CE2">
            <w:pPr>
              <w:pStyle w:val="BodyText"/>
              <w:rPr>
                <w:lang w:val="en-NZ"/>
              </w:rPr>
            </w:pPr>
          </w:p>
        </w:tc>
      </w:tr>
      <w:tr w:rsidTr="007146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CE2" w:rsidP="00CA6CE2">
            <w:pPr>
              <w:pStyle w:val="BodyText"/>
            </w:pPr>
          </w:p>
        </w:tc>
      </w:tr>
    </w:tbl>
    <w:p w:rsidR="00000000" w:rsidRPr="00CA6CE2" w:rsidP="00CA6CE2">
      <w:pPr>
        <w:pStyle w:val="BodyText"/>
      </w:pPr>
    </w:p>
    <w:p w:rsidR="00000000" w:rsidRPr="00CA6CE2" w:rsidP="00CA6CE2"/>
    <w:sectPr w:rsidSect="00CA6C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687" w:rsidP="00714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687" w:rsidP="00CA6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4687" w:rsidP="00CA6C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4687" w:rsidP="00CA6C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E2" w:rsidRPr="00714687" w:rsidP="007146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687" w:rsidP="00CA6CE2">
    <w:pPr>
      <w:pStyle w:val="Header"/>
      <w:framePr w:wrap="around"/>
    </w:pPr>
    <w:r>
      <w:fldChar w:fldCharType="begin"/>
    </w:r>
    <w:r>
      <w:instrText xml:space="preserve"> TITLE   \* MERGEFORMAT </w:instrText>
    </w:r>
    <w:r>
      <w:fldChar w:fldCharType="separate"/>
    </w:r>
    <w:r>
      <w:t>FDFPH2009A Dispense pharmaceutical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687" w:rsidP="00CA6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423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FCA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6CE2"/>
    <w:pPr>
      <w:spacing w:before="360" w:after="60"/>
      <w:outlineLvl w:val="0"/>
    </w:pPr>
    <w:rPr>
      <w:sz w:val="32"/>
    </w:rPr>
  </w:style>
  <w:style w:type="paragraph" w:styleId="Heading2">
    <w:name w:val="heading 2"/>
    <w:basedOn w:val="HeadingBase"/>
    <w:next w:val="BodyText"/>
    <w:link w:val="Heading2Char"/>
    <w:qFormat/>
    <w:rsid w:val="00CA6CE2"/>
    <w:pPr>
      <w:keepLines/>
      <w:spacing w:before="240" w:after="120"/>
      <w:outlineLvl w:val="1"/>
    </w:pPr>
    <w:rPr>
      <w:sz w:val="28"/>
      <w:szCs w:val="40"/>
    </w:rPr>
  </w:style>
  <w:style w:type="paragraph" w:styleId="Heading3">
    <w:name w:val="heading 3"/>
    <w:basedOn w:val="HeadingBase"/>
    <w:next w:val="BodyText"/>
    <w:link w:val="Heading3Char"/>
    <w:qFormat/>
    <w:rsid w:val="00CA6CE2"/>
    <w:pPr>
      <w:spacing w:before="180" w:after="120"/>
      <w:outlineLvl w:val="2"/>
    </w:pPr>
    <w:rPr>
      <w:spacing w:val="-10"/>
      <w:kern w:val="32"/>
    </w:rPr>
  </w:style>
  <w:style w:type="paragraph" w:styleId="Heading4">
    <w:name w:val="heading 4"/>
    <w:basedOn w:val="HeadingBase"/>
    <w:next w:val="BodyText"/>
    <w:link w:val="Heading4Char"/>
    <w:qFormat/>
    <w:rsid w:val="00CA6CE2"/>
    <w:pPr>
      <w:spacing w:before="160" w:after="120"/>
      <w:outlineLvl w:val="3"/>
    </w:pPr>
    <w:rPr>
      <w:sz w:val="22"/>
    </w:rPr>
  </w:style>
  <w:style w:type="paragraph" w:styleId="Heading5">
    <w:name w:val="heading 5"/>
    <w:basedOn w:val="HeadingBase"/>
    <w:next w:val="Normal"/>
    <w:link w:val="Heading5Char"/>
    <w:qFormat/>
    <w:rsid w:val="00CA6CE2"/>
    <w:pPr>
      <w:spacing w:before="80"/>
      <w:outlineLvl w:val="4"/>
    </w:pPr>
    <w:rPr>
      <w:color w:val="918585"/>
      <w:sz w:val="20"/>
    </w:rPr>
  </w:style>
  <w:style w:type="paragraph" w:styleId="Heading6">
    <w:name w:val="heading 6"/>
    <w:basedOn w:val="HeadingBase"/>
    <w:next w:val="Normal"/>
    <w:link w:val="Heading6Char"/>
    <w:qFormat/>
    <w:rsid w:val="00CA6CE2"/>
    <w:pPr>
      <w:spacing w:before="60"/>
      <w:outlineLvl w:val="5"/>
    </w:pPr>
    <w:rPr>
      <w:color w:val="918585"/>
      <w:sz w:val="20"/>
    </w:rPr>
  </w:style>
  <w:style w:type="paragraph" w:styleId="Heading7">
    <w:name w:val="heading 7"/>
    <w:basedOn w:val="Normal"/>
    <w:next w:val="Normal"/>
    <w:link w:val="Heading7Char"/>
    <w:qFormat/>
    <w:rsid w:val="00CA6CE2"/>
    <w:pPr>
      <w:ind w:left="720"/>
      <w:outlineLvl w:val="6"/>
    </w:pPr>
    <w:rPr>
      <w:i/>
    </w:rPr>
  </w:style>
  <w:style w:type="paragraph" w:styleId="Heading8">
    <w:name w:val="heading 8"/>
    <w:basedOn w:val="Normal"/>
    <w:next w:val="Normal"/>
    <w:link w:val="Heading8Char"/>
    <w:qFormat/>
    <w:rsid w:val="00CA6CE2"/>
    <w:pPr>
      <w:ind w:left="720"/>
      <w:outlineLvl w:val="7"/>
    </w:pPr>
    <w:rPr>
      <w:i/>
    </w:rPr>
  </w:style>
  <w:style w:type="paragraph" w:styleId="Heading9">
    <w:name w:val="heading 9"/>
    <w:basedOn w:val="Normal"/>
    <w:next w:val="Normal"/>
    <w:link w:val="Heading9Char"/>
    <w:qFormat/>
    <w:rsid w:val="00CA6CE2"/>
    <w:pPr>
      <w:ind w:left="720"/>
      <w:outlineLvl w:val="8"/>
    </w:pPr>
    <w:rPr>
      <w:i/>
    </w:rPr>
  </w:style>
  <w:style w:type="character" w:default="1" w:styleId="DefaultParagraphFont">
    <w:name w:val="Default Paragraph Font"/>
    <w:uiPriority w:val="1"/>
    <w:unhideWhenUsed/>
    <w:rsid w:val="00CA6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CE2"/>
  </w:style>
  <w:style w:type="character" w:customStyle="1" w:styleId="Heading1Char">
    <w:name w:val="Heading 1 Char"/>
    <w:link w:val="Heading1"/>
    <w:rsid w:val="00CA6CE2"/>
    <w:rPr>
      <w:rFonts w:ascii="Times New Roman" w:eastAsia="Times New Roman" w:hAnsi="Times New Roman" w:cs="Times New Roman"/>
      <w:b/>
      <w:sz w:val="32"/>
      <w:szCs w:val="20"/>
      <w:lang w:eastAsia="en-US"/>
    </w:rPr>
  </w:style>
  <w:style w:type="paragraph" w:styleId="BodyText">
    <w:name w:val="Body Text"/>
    <w:basedOn w:val="Normal"/>
    <w:link w:val="BodyTextChar"/>
    <w:rsid w:val="00CA6CE2"/>
    <w:pPr>
      <w:spacing w:before="120" w:after="120"/>
      <w:contextualSpacing/>
    </w:pPr>
    <w:rPr>
      <w:rFonts w:ascii="Times New Roman" w:hAnsi="Times New Roman"/>
      <w:sz w:val="24"/>
      <w:szCs w:val="22"/>
    </w:rPr>
  </w:style>
  <w:style w:type="character" w:customStyle="1" w:styleId="BodyTextChar">
    <w:name w:val="Body Text Char"/>
    <w:link w:val="BodyText"/>
    <w:rsid w:val="00CA6CE2"/>
    <w:rPr>
      <w:rFonts w:ascii="Times New Roman" w:eastAsia="Times New Roman" w:hAnsi="Times New Roman" w:cs="Times New Roman"/>
      <w:sz w:val="24"/>
      <w:lang w:val="en-US" w:eastAsia="en-US"/>
    </w:rPr>
  </w:style>
  <w:style w:type="paragraph" w:styleId="Footer">
    <w:name w:val="footer"/>
    <w:basedOn w:val="Normal"/>
    <w:link w:val="FooterChar"/>
    <w:rsid w:val="00CA6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6CE2"/>
    <w:rPr>
      <w:rFonts w:ascii="Times New Roman" w:eastAsia="Times New Roman" w:hAnsi="Times New Roman" w:cs="Times New Roman"/>
      <w:sz w:val="16"/>
      <w:lang w:val="en-US" w:eastAsia="en-US"/>
    </w:rPr>
  </w:style>
  <w:style w:type="paragraph" w:styleId="List">
    <w:name w:val="List"/>
    <w:basedOn w:val="BodyText"/>
    <w:next w:val="BodyText"/>
    <w:rsid w:val="00CA6CE2"/>
    <w:pPr>
      <w:tabs>
        <w:tab w:val="left" w:pos="340"/>
      </w:tabs>
      <w:spacing w:before="60" w:after="60"/>
      <w:ind w:left="340" w:hanging="340"/>
    </w:pPr>
  </w:style>
  <w:style w:type="paragraph" w:styleId="ListBullet">
    <w:name w:val="List Bullet"/>
    <w:basedOn w:val="List"/>
    <w:rsid w:val="00CA6CE2"/>
    <w:pPr>
      <w:numPr>
        <w:numId w:val="12"/>
      </w:numPr>
      <w:tabs>
        <w:tab w:val="clear" w:pos="340"/>
      </w:tabs>
      <w:spacing w:before="40" w:after="40"/>
    </w:pPr>
  </w:style>
  <w:style w:type="character" w:customStyle="1" w:styleId="SpecialBold">
    <w:name w:val="Special Bold"/>
    <w:rsid w:val="00CA6CE2"/>
    <w:rPr>
      <w:b/>
      <w:spacing w:val="0"/>
    </w:rPr>
  </w:style>
  <w:style w:type="paragraph" w:customStyle="1" w:styleId="SuperHeading">
    <w:name w:val="SuperHeading"/>
    <w:basedOn w:val="Normal"/>
    <w:rsid w:val="00CA6CE2"/>
    <w:pPr>
      <w:spacing w:before="240" w:after="120"/>
      <w:outlineLvl w:val="0"/>
    </w:pPr>
    <w:rPr>
      <w:rFonts w:ascii="Times New Roman" w:hAnsi="Times New Roman"/>
      <w:b/>
      <w:sz w:val="28"/>
    </w:rPr>
  </w:style>
  <w:style w:type="paragraph" w:customStyle="1" w:styleId="AllowPageBreak">
    <w:name w:val="AllowPageBreak"/>
    <w:rsid w:val="00CA6C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6CE2"/>
    <w:pPr>
      <w:tabs>
        <w:tab w:val="left" w:pos="680"/>
      </w:tabs>
      <w:spacing w:before="60" w:after="60"/>
      <w:ind w:left="680" w:hanging="340"/>
    </w:pPr>
  </w:style>
  <w:style w:type="character" w:customStyle="1" w:styleId="BoldandItalics">
    <w:name w:val="Bold and Italics"/>
    <w:qFormat/>
    <w:rsid w:val="00CA6CE2"/>
    <w:rPr>
      <w:b/>
      <w:i/>
      <w:u w:val="none"/>
    </w:rPr>
  </w:style>
  <w:style w:type="character" w:customStyle="1" w:styleId="Heading2Char">
    <w:name w:val="Heading 2 Char"/>
    <w:link w:val="Heading2"/>
    <w:rsid w:val="00CA6CE2"/>
    <w:rPr>
      <w:rFonts w:ascii="Times New Roman" w:eastAsia="Times New Roman" w:hAnsi="Times New Roman" w:cs="Times New Roman"/>
      <w:b/>
      <w:sz w:val="28"/>
      <w:szCs w:val="40"/>
      <w:lang w:eastAsia="en-US"/>
    </w:rPr>
  </w:style>
  <w:style w:type="character" w:customStyle="1" w:styleId="Heading3Char">
    <w:name w:val="Heading 3 Char"/>
    <w:link w:val="Heading3"/>
    <w:rsid w:val="00CA6C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6CE2"/>
    <w:rPr>
      <w:rFonts w:ascii="Times New Roman" w:eastAsia="Times New Roman" w:hAnsi="Times New Roman" w:cs="Times New Roman"/>
      <w:b/>
      <w:szCs w:val="20"/>
      <w:lang w:eastAsia="en-US"/>
    </w:rPr>
  </w:style>
  <w:style w:type="character" w:customStyle="1" w:styleId="Heading5Char">
    <w:name w:val="Heading 5 Char"/>
    <w:link w:val="Heading5"/>
    <w:rsid w:val="00CA6C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6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C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6C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6CE2"/>
    <w:rPr>
      <w:rFonts w:ascii="Courier New" w:eastAsia="Times New Roman" w:hAnsi="Courier New" w:cs="Times New Roman"/>
      <w:i/>
      <w:szCs w:val="20"/>
      <w:lang w:val="en-US" w:eastAsia="en-US"/>
    </w:rPr>
  </w:style>
  <w:style w:type="paragraph" w:customStyle="1" w:styleId="HeadingBase">
    <w:name w:val="Heading Base"/>
    <w:rsid w:val="00CA6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CE2"/>
    <w:pPr>
      <w:tabs>
        <w:tab w:val="right" w:leader="dot" w:pos="9072"/>
      </w:tabs>
      <w:ind w:left="567"/>
    </w:pPr>
    <w:rPr>
      <w:szCs w:val="22"/>
    </w:rPr>
  </w:style>
  <w:style w:type="paragraph" w:customStyle="1" w:styleId="TOCBase">
    <w:name w:val="TOC Base"/>
    <w:rsid w:val="00CA6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CE2"/>
    <w:pPr>
      <w:tabs>
        <w:tab w:val="right" w:leader="dot" w:pos="9072"/>
      </w:tabs>
      <w:spacing w:before="40" w:after="40"/>
      <w:ind w:left="284"/>
    </w:pPr>
    <w:rPr>
      <w:rFonts w:ascii="Times New Roman" w:hAnsi="Times New Roman"/>
    </w:rPr>
  </w:style>
  <w:style w:type="paragraph" w:styleId="TOC1">
    <w:name w:val="toc 1"/>
    <w:basedOn w:val="TOCBase"/>
    <w:next w:val="Normal"/>
    <w:rsid w:val="00CA6C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6CE2"/>
    <w:pPr>
      <w:spacing w:before="5040"/>
      <w:jc w:val="center"/>
    </w:pPr>
    <w:rPr>
      <w:sz w:val="48"/>
      <w:szCs w:val="72"/>
      <w:lang w:val="en-US"/>
    </w:rPr>
  </w:style>
  <w:style w:type="character" w:customStyle="1" w:styleId="TitleChar">
    <w:name w:val="Title Char"/>
    <w:link w:val="Title"/>
    <w:rsid w:val="00CA6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CE2"/>
    <w:pPr>
      <w:tabs>
        <w:tab w:val="left" w:pos="3600"/>
        <w:tab w:val="left" w:pos="3958"/>
      </w:tabs>
    </w:pPr>
  </w:style>
  <w:style w:type="paragraph" w:customStyle="1" w:styleId="Note">
    <w:name w:val="Note"/>
    <w:basedOn w:val="BodyText"/>
    <w:rsid w:val="00CA6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CE2"/>
    <w:pPr>
      <w:framePr w:wrap="auto" w:hAnchor="text" w:y="6049"/>
    </w:pPr>
    <w:rPr>
      <w:color w:val="000000"/>
      <w:sz w:val="40"/>
    </w:rPr>
  </w:style>
  <w:style w:type="paragraph" w:customStyle="1" w:styleId="TOCTitle">
    <w:name w:val="TOCTitle"/>
    <w:basedOn w:val="Heading1"/>
    <w:rsid w:val="00CA6CE2"/>
    <w:pPr>
      <w:spacing w:after="240"/>
      <w:jc w:val="center"/>
      <w:outlineLvl w:val="9"/>
    </w:pPr>
    <w:rPr>
      <w:caps/>
    </w:rPr>
  </w:style>
  <w:style w:type="paragraph" w:customStyle="1" w:styleId="Version">
    <w:name w:val="Version"/>
    <w:rsid w:val="00CA6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6CE2"/>
    <w:pPr>
      <w:numPr>
        <w:numId w:val="13"/>
      </w:numPr>
      <w:tabs>
        <w:tab w:val="clear" w:pos="680"/>
      </w:tabs>
    </w:pPr>
  </w:style>
  <w:style w:type="paragraph" w:styleId="Index1">
    <w:name w:val="index 1"/>
    <w:basedOn w:val="Normal"/>
    <w:next w:val="Normal"/>
    <w:semiHidden/>
    <w:rsid w:val="00CA6CE2"/>
    <w:pPr>
      <w:keepNext w:val="0"/>
      <w:tabs>
        <w:tab w:val="right" w:pos="4176"/>
      </w:tabs>
      <w:ind w:left="198" w:hanging="198"/>
    </w:pPr>
    <w:rPr>
      <w:rFonts w:ascii="Garamond" w:hAnsi="Garamond"/>
    </w:rPr>
  </w:style>
  <w:style w:type="paragraph" w:styleId="IndexHeading">
    <w:name w:val="index heading"/>
    <w:basedOn w:val="Normal"/>
    <w:next w:val="Index1"/>
    <w:semiHidden/>
    <w:rsid w:val="00CA6CE2"/>
    <w:pPr>
      <w:spacing w:before="120" w:after="120"/>
    </w:pPr>
    <w:rPr>
      <w:rFonts w:ascii="Arial" w:hAnsi="Arial"/>
      <w:b/>
      <w:color w:val="918585"/>
      <w:sz w:val="24"/>
    </w:rPr>
  </w:style>
  <w:style w:type="paragraph" w:styleId="Header">
    <w:name w:val="header"/>
    <w:basedOn w:val="Normal"/>
    <w:link w:val="HeaderChar"/>
    <w:rsid w:val="00CA6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6CE2"/>
    <w:rPr>
      <w:rFonts w:ascii="Times New Roman" w:eastAsia="Times New Roman" w:hAnsi="Times New Roman" w:cs="Times New Roman"/>
      <w:sz w:val="16"/>
      <w:szCs w:val="20"/>
      <w:lang w:val="en-GB" w:eastAsia="en-US"/>
    </w:rPr>
  </w:style>
  <w:style w:type="paragraph" w:customStyle="1" w:styleId="Chapter">
    <w:name w:val="Chapter"/>
    <w:basedOn w:val="Normal"/>
    <w:rsid w:val="00CA6CE2"/>
    <w:pPr>
      <w:spacing w:before="240"/>
    </w:pPr>
    <w:rPr>
      <w:rFonts w:ascii="Times New Roman" w:hAnsi="Times New Roman"/>
      <w:smallCaps/>
      <w:spacing w:val="80"/>
      <w:sz w:val="28"/>
    </w:rPr>
  </w:style>
  <w:style w:type="paragraph" w:customStyle="1" w:styleId="InChapter">
    <w:name w:val="InChapter"/>
    <w:basedOn w:val="Heading3"/>
    <w:rsid w:val="00CA6CE2"/>
    <w:pPr>
      <w:spacing w:after="240"/>
      <w:outlineLvl w:val="9"/>
    </w:pPr>
    <w:rPr>
      <w:noProof/>
    </w:rPr>
  </w:style>
  <w:style w:type="paragraph" w:styleId="Index2">
    <w:name w:val="index 2"/>
    <w:basedOn w:val="Normal"/>
    <w:next w:val="Normal"/>
    <w:semiHidden/>
    <w:rsid w:val="00CA6CE2"/>
    <w:pPr>
      <w:tabs>
        <w:tab w:val="right" w:pos="4176"/>
      </w:tabs>
      <w:ind w:left="568" w:hanging="284"/>
    </w:pPr>
    <w:rPr>
      <w:rFonts w:ascii="Garamond" w:hAnsi="Garamond"/>
    </w:rPr>
  </w:style>
  <w:style w:type="paragraph" w:customStyle="1" w:styleId="Byline">
    <w:name w:val="Byline"/>
    <w:rsid w:val="00CA6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CE2"/>
    <w:pPr>
      <w:tabs>
        <w:tab w:val="clear" w:pos="3600"/>
        <w:tab w:val="clear" w:pos="3958"/>
      </w:tabs>
      <w:jc w:val="right"/>
    </w:pPr>
  </w:style>
  <w:style w:type="character" w:styleId="Emphasis">
    <w:name w:val="Emphasis"/>
    <w:qFormat/>
    <w:rsid w:val="00CA6CE2"/>
    <w:rPr>
      <w:i/>
    </w:rPr>
  </w:style>
  <w:style w:type="paragraph" w:styleId="Caption">
    <w:name w:val="caption"/>
    <w:basedOn w:val="BodyText"/>
    <w:next w:val="Normal"/>
    <w:qFormat/>
    <w:rsid w:val="00CA6CE2"/>
    <w:pPr>
      <w:framePr w:w="2268" w:hSpace="181" w:vSpace="181" w:wrap="around" w:vAnchor="text" w:hAnchor="page" w:x="1135" w:y="285" w:anchorLock="1"/>
    </w:pPr>
    <w:rPr>
      <w:i/>
    </w:rPr>
  </w:style>
  <w:style w:type="paragraph" w:customStyle="1" w:styleId="MiniTOCTitle">
    <w:name w:val="MiniTOCTitle"/>
    <w:basedOn w:val="Heading4"/>
    <w:rsid w:val="00CA6CE2"/>
    <w:pPr>
      <w:spacing w:before="240"/>
      <w:outlineLvl w:val="9"/>
    </w:pPr>
    <w:rPr>
      <w:noProof/>
      <w:sz w:val="24"/>
    </w:rPr>
  </w:style>
  <w:style w:type="paragraph" w:customStyle="1" w:styleId="MiniTOCItem">
    <w:name w:val="MiniTOCItem"/>
    <w:basedOn w:val="ListBullet"/>
    <w:rsid w:val="00CA6CE2"/>
    <w:pPr>
      <w:numPr>
        <w:numId w:val="0"/>
      </w:numPr>
      <w:tabs>
        <w:tab w:val="right" w:leader="dot" w:pos="6521"/>
      </w:tabs>
      <w:spacing w:before="0" w:after="0"/>
    </w:pPr>
  </w:style>
  <w:style w:type="paragraph" w:customStyle="1" w:styleId="TOFTitle">
    <w:name w:val="TOFTitle"/>
    <w:basedOn w:val="TOCTitle"/>
    <w:rsid w:val="00CA6CE2"/>
  </w:style>
  <w:style w:type="paragraph" w:styleId="TableofFigures">
    <w:name w:val="table of figures"/>
    <w:basedOn w:val="Normal"/>
    <w:next w:val="Normal"/>
    <w:semiHidden/>
    <w:rsid w:val="00CA6CE2"/>
    <w:pPr>
      <w:tabs>
        <w:tab w:val="right" w:leader="dot" w:pos="9072"/>
      </w:tabs>
      <w:ind w:left="970" w:hanging="403"/>
    </w:pPr>
    <w:rPr>
      <w:rFonts w:ascii="Times New Roman" w:hAnsi="Times New Roman"/>
      <w:b/>
    </w:rPr>
  </w:style>
  <w:style w:type="paragraph" w:styleId="ListNumber">
    <w:name w:val="List Number"/>
    <w:basedOn w:val="List"/>
    <w:rsid w:val="00CA6CE2"/>
    <w:pPr>
      <w:numPr>
        <w:numId w:val="10"/>
      </w:numPr>
    </w:pPr>
  </w:style>
  <w:style w:type="character" w:customStyle="1" w:styleId="WingdingSymbols">
    <w:name w:val="Wingding Symbols"/>
    <w:rsid w:val="00CA6CE2"/>
    <w:rPr>
      <w:rFonts w:ascii="Wingdings" w:hAnsi="Wingdings"/>
    </w:rPr>
  </w:style>
  <w:style w:type="paragraph" w:customStyle="1" w:styleId="TableHeading">
    <w:name w:val="Table Heading"/>
    <w:basedOn w:val="HeadingBase"/>
    <w:rsid w:val="00CA6CE2"/>
    <w:pPr>
      <w:keepLines/>
      <w:pBdr>
        <w:bottom w:val="single" w:sz="6" w:space="1" w:color="918585"/>
      </w:pBdr>
      <w:spacing w:before="240"/>
    </w:pPr>
  </w:style>
  <w:style w:type="character" w:customStyle="1" w:styleId="HotSpot">
    <w:name w:val="HotSpot"/>
    <w:rsid w:val="00CA6CE2"/>
    <w:rPr>
      <w:color w:val="0033CC"/>
      <w:u w:val="none"/>
    </w:rPr>
  </w:style>
  <w:style w:type="paragraph" w:customStyle="1" w:styleId="BodyTextRight">
    <w:name w:val="Body Text Right"/>
    <w:basedOn w:val="BodyText"/>
    <w:rsid w:val="00CA6CE2"/>
    <w:pPr>
      <w:spacing w:before="0" w:after="0"/>
      <w:jc w:val="right"/>
    </w:pPr>
  </w:style>
  <w:style w:type="paragraph" w:styleId="Index3">
    <w:name w:val="index 3"/>
    <w:basedOn w:val="ListNumber2"/>
    <w:next w:val="Normal"/>
    <w:semiHidden/>
    <w:rsid w:val="00CA6CE2"/>
    <w:pPr>
      <w:numPr>
        <w:numId w:val="0"/>
      </w:numPr>
      <w:tabs>
        <w:tab w:val="right" w:leader="dot" w:pos="4176"/>
      </w:tabs>
    </w:pPr>
  </w:style>
  <w:style w:type="paragraph" w:styleId="ListNumber2">
    <w:name w:val="List Number 2"/>
    <w:basedOn w:val="List2"/>
    <w:rsid w:val="00CA6CE2"/>
    <w:pPr>
      <w:numPr>
        <w:numId w:val="9"/>
      </w:numPr>
      <w:tabs>
        <w:tab w:val="clear" w:pos="1060"/>
      </w:tabs>
    </w:pPr>
  </w:style>
  <w:style w:type="paragraph" w:customStyle="1" w:styleId="MarginNote">
    <w:name w:val="Margin Note"/>
    <w:basedOn w:val="BodyText"/>
    <w:rsid w:val="00CA6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6C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6CE2"/>
    <w:rPr>
      <w:sz w:val="32"/>
    </w:rPr>
  </w:style>
  <w:style w:type="paragraph" w:customStyle="1" w:styleId="HeadingProcedure">
    <w:name w:val="Heading Procedure"/>
    <w:basedOn w:val="HeadingBase"/>
    <w:next w:val="Normal"/>
    <w:rsid w:val="00CA6CE2"/>
    <w:pPr>
      <w:tabs>
        <w:tab w:val="left" w:pos="0"/>
      </w:tabs>
      <w:spacing w:before="120" w:after="60"/>
    </w:pPr>
    <w:rPr>
      <w:i/>
      <w:color w:val="918585"/>
      <w:sz w:val="22"/>
    </w:rPr>
  </w:style>
  <w:style w:type="paragraph" w:customStyle="1" w:styleId="TableBodyText">
    <w:name w:val="Table Body Text"/>
    <w:basedOn w:val="BodyText"/>
    <w:rsid w:val="00CA6CE2"/>
    <w:pPr>
      <w:spacing w:before="60" w:after="60"/>
    </w:pPr>
  </w:style>
  <w:style w:type="paragraph" w:styleId="ListContinue">
    <w:name w:val="List Continue"/>
    <w:basedOn w:val="List"/>
    <w:rsid w:val="00CA6CE2"/>
    <w:pPr>
      <w:ind w:firstLine="0"/>
    </w:pPr>
  </w:style>
  <w:style w:type="paragraph" w:customStyle="1" w:styleId="ListNote">
    <w:name w:val="List Note"/>
    <w:basedOn w:val="List"/>
    <w:rsid w:val="00CA6CE2"/>
    <w:pPr>
      <w:pBdr>
        <w:top w:val="single" w:sz="6" w:space="2" w:color="918585"/>
        <w:bottom w:val="single" w:sz="6" w:space="2" w:color="918585"/>
      </w:pBdr>
      <w:tabs>
        <w:tab w:val="left" w:pos="1021"/>
      </w:tabs>
      <w:ind w:firstLine="0"/>
    </w:pPr>
  </w:style>
  <w:style w:type="paragraph" w:customStyle="1" w:styleId="Warning">
    <w:name w:val="Warning"/>
    <w:basedOn w:val="BodyText"/>
    <w:rsid w:val="00CA6CE2"/>
    <w:pPr>
      <w:shd w:val="clear" w:color="auto" w:fill="D9D9D9"/>
      <w:tabs>
        <w:tab w:val="left" w:pos="992"/>
      </w:tabs>
      <w:ind w:left="119" w:right="119"/>
    </w:pPr>
    <w:rPr>
      <w:sz w:val="20"/>
    </w:rPr>
  </w:style>
  <w:style w:type="paragraph" w:customStyle="1" w:styleId="MarginIcons">
    <w:name w:val="Margin Icons"/>
    <w:basedOn w:val="BodyText"/>
    <w:rsid w:val="00CA6C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6CE2"/>
    <w:rPr>
      <w:rFonts w:ascii="Courier New" w:hAnsi="Courier New"/>
    </w:rPr>
  </w:style>
  <w:style w:type="paragraph" w:customStyle="1" w:styleId="NoteBullet">
    <w:name w:val="Note Bullet"/>
    <w:basedOn w:val="Note"/>
    <w:rsid w:val="00CA6CE2"/>
    <w:pPr>
      <w:tabs>
        <w:tab w:val="clear" w:pos="680"/>
      </w:tabs>
      <w:spacing w:before="60" w:after="60"/>
    </w:pPr>
  </w:style>
  <w:style w:type="paragraph" w:customStyle="1" w:styleId="SubHeading2">
    <w:name w:val="SubHeading2"/>
    <w:basedOn w:val="HeadingBase"/>
    <w:rsid w:val="00CA6CE2"/>
    <w:pPr>
      <w:spacing w:before="240" w:after="60"/>
    </w:pPr>
    <w:rPr>
      <w:sz w:val="20"/>
    </w:rPr>
  </w:style>
  <w:style w:type="paragraph" w:customStyle="1" w:styleId="SubHeading1">
    <w:name w:val="SubHeading1"/>
    <w:basedOn w:val="HeadingBase"/>
    <w:rsid w:val="00CA6CE2"/>
    <w:pPr>
      <w:spacing w:before="240" w:after="60"/>
    </w:pPr>
    <w:rPr>
      <w:color w:val="918585"/>
      <w:sz w:val="22"/>
    </w:rPr>
  </w:style>
  <w:style w:type="paragraph" w:customStyle="1" w:styleId="SideHeading">
    <w:name w:val="Side Heading"/>
    <w:basedOn w:val="HeadingBase"/>
    <w:rsid w:val="00CA6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CE2"/>
    <w:pPr>
      <w:tabs>
        <w:tab w:val="num" w:pos="360"/>
      </w:tabs>
    </w:pPr>
  </w:style>
  <w:style w:type="paragraph" w:styleId="PlainText">
    <w:name w:val="Plain Text"/>
    <w:basedOn w:val="Normal"/>
    <w:link w:val="PlainTextChar"/>
    <w:rsid w:val="00CA6CE2"/>
    <w:rPr>
      <w:sz w:val="20"/>
    </w:rPr>
  </w:style>
  <w:style w:type="character" w:customStyle="1" w:styleId="PlainTextChar">
    <w:name w:val="Plain Text Char"/>
    <w:basedOn w:val="DefaultParagraphFont"/>
    <w:link w:val="PlainText"/>
    <w:rsid w:val="00CA6CE2"/>
    <w:rPr>
      <w:rFonts w:ascii="Courier New" w:eastAsia="Times New Roman" w:hAnsi="Courier New" w:cs="Times New Roman"/>
      <w:sz w:val="20"/>
      <w:szCs w:val="20"/>
      <w:lang w:val="en-US" w:eastAsia="en-US"/>
    </w:rPr>
  </w:style>
  <w:style w:type="character" w:customStyle="1" w:styleId="MenuOption">
    <w:name w:val="Menu Option"/>
    <w:rsid w:val="00CA6CE2"/>
    <w:rPr>
      <w:b/>
      <w:smallCaps/>
    </w:rPr>
  </w:style>
  <w:style w:type="paragraph" w:customStyle="1" w:styleId="TableListNumber">
    <w:name w:val="Table List Number"/>
    <w:basedOn w:val="ListNumber"/>
    <w:rsid w:val="00CA6CE2"/>
    <w:pPr>
      <w:numPr>
        <w:numId w:val="0"/>
      </w:numPr>
    </w:pPr>
  </w:style>
  <w:style w:type="paragraph" w:styleId="TOC4">
    <w:name w:val="toc 4"/>
    <w:basedOn w:val="TOCBase"/>
    <w:next w:val="Normal"/>
    <w:semiHidden/>
    <w:rsid w:val="00CA6CE2"/>
    <w:pPr>
      <w:tabs>
        <w:tab w:val="right" w:leader="dot" w:pos="9071"/>
      </w:tabs>
      <w:ind w:left="1701"/>
    </w:pPr>
  </w:style>
  <w:style w:type="paragraph" w:customStyle="1" w:styleId="ListAlpha">
    <w:name w:val="List Alpha"/>
    <w:basedOn w:val="List"/>
    <w:rsid w:val="00CA6CE2"/>
    <w:pPr>
      <w:numPr>
        <w:numId w:val="8"/>
      </w:numPr>
    </w:pPr>
  </w:style>
  <w:style w:type="paragraph" w:customStyle="1" w:styleId="ListAlpha2">
    <w:name w:val="List Alpha 2"/>
    <w:basedOn w:val="List2"/>
    <w:rsid w:val="00CA6CE2"/>
    <w:pPr>
      <w:numPr>
        <w:numId w:val="7"/>
      </w:numPr>
    </w:pPr>
  </w:style>
  <w:style w:type="paragraph" w:styleId="List3">
    <w:name w:val="List 3"/>
    <w:basedOn w:val="BodyText"/>
    <w:rsid w:val="00CA6CE2"/>
    <w:pPr>
      <w:tabs>
        <w:tab w:val="left" w:pos="1021"/>
      </w:tabs>
      <w:spacing w:before="60" w:after="60"/>
      <w:ind w:left="1020" w:hanging="340"/>
    </w:pPr>
  </w:style>
  <w:style w:type="paragraph" w:styleId="List4">
    <w:name w:val="List 4"/>
    <w:basedOn w:val="BodyText"/>
    <w:rsid w:val="00CA6CE2"/>
    <w:pPr>
      <w:tabs>
        <w:tab w:val="left" w:pos="1361"/>
      </w:tabs>
      <w:spacing w:before="60" w:after="60"/>
      <w:ind w:left="1361" w:hanging="340"/>
    </w:pPr>
  </w:style>
  <w:style w:type="paragraph" w:styleId="List5">
    <w:name w:val="List 5"/>
    <w:basedOn w:val="BodyText"/>
    <w:rsid w:val="00CA6CE2"/>
    <w:pPr>
      <w:tabs>
        <w:tab w:val="left" w:pos="1701"/>
      </w:tabs>
      <w:spacing w:before="60" w:after="60"/>
      <w:ind w:left="1701" w:hanging="340"/>
    </w:pPr>
  </w:style>
  <w:style w:type="paragraph" w:styleId="ListBullet3">
    <w:name w:val="List Bullet 3"/>
    <w:basedOn w:val="List3"/>
    <w:rsid w:val="00CA6CE2"/>
    <w:pPr>
      <w:numPr>
        <w:numId w:val="14"/>
      </w:numPr>
      <w:tabs>
        <w:tab w:val="clear" w:pos="1021"/>
      </w:tabs>
      <w:ind w:left="1037" w:hanging="357"/>
    </w:pPr>
  </w:style>
  <w:style w:type="paragraph" w:styleId="ListBullet4">
    <w:name w:val="List Bullet 4"/>
    <w:basedOn w:val="List4"/>
    <w:rsid w:val="00CA6CE2"/>
    <w:pPr>
      <w:numPr>
        <w:numId w:val="2"/>
      </w:numPr>
    </w:pPr>
  </w:style>
  <w:style w:type="paragraph" w:styleId="ListBullet5">
    <w:name w:val="List Bullet 5"/>
    <w:basedOn w:val="List5"/>
    <w:rsid w:val="00CA6CE2"/>
    <w:pPr>
      <w:numPr>
        <w:numId w:val="3"/>
      </w:numPr>
    </w:pPr>
  </w:style>
  <w:style w:type="paragraph" w:styleId="ListContinue2">
    <w:name w:val="List Continue 2"/>
    <w:basedOn w:val="List2"/>
    <w:rsid w:val="00CA6CE2"/>
    <w:pPr>
      <w:ind w:firstLine="0"/>
    </w:pPr>
  </w:style>
  <w:style w:type="paragraph" w:styleId="ListContinue3">
    <w:name w:val="List Continue 3"/>
    <w:basedOn w:val="List3"/>
    <w:rsid w:val="00CA6CE2"/>
    <w:pPr>
      <w:ind w:left="1021" w:firstLine="0"/>
    </w:pPr>
  </w:style>
  <w:style w:type="paragraph" w:styleId="ListContinue4">
    <w:name w:val="List Continue 4"/>
    <w:basedOn w:val="List4"/>
    <w:rsid w:val="00CA6CE2"/>
    <w:pPr>
      <w:ind w:firstLine="0"/>
    </w:pPr>
  </w:style>
  <w:style w:type="paragraph" w:styleId="ListContinue5">
    <w:name w:val="List Continue 5"/>
    <w:basedOn w:val="List5"/>
    <w:rsid w:val="00CA6CE2"/>
    <w:pPr>
      <w:ind w:firstLine="0"/>
    </w:pPr>
  </w:style>
  <w:style w:type="paragraph" w:styleId="ListNumber3">
    <w:name w:val="List Number 3"/>
    <w:basedOn w:val="List3"/>
    <w:rsid w:val="00CA6CE2"/>
    <w:pPr>
      <w:numPr>
        <w:numId w:val="4"/>
      </w:numPr>
    </w:pPr>
  </w:style>
  <w:style w:type="paragraph" w:styleId="ListNumber4">
    <w:name w:val="List Number 4"/>
    <w:basedOn w:val="List4"/>
    <w:rsid w:val="00CA6CE2"/>
    <w:pPr>
      <w:numPr>
        <w:numId w:val="5"/>
      </w:numPr>
    </w:pPr>
  </w:style>
  <w:style w:type="paragraph" w:styleId="ListNumber5">
    <w:name w:val="List Number 5"/>
    <w:basedOn w:val="List5"/>
    <w:rsid w:val="00CA6CE2"/>
    <w:pPr>
      <w:numPr>
        <w:numId w:val="6"/>
      </w:numPr>
    </w:pPr>
  </w:style>
  <w:style w:type="paragraph" w:styleId="BlockText">
    <w:name w:val="Block Text"/>
    <w:basedOn w:val="Normal"/>
    <w:rsid w:val="00CA6CE2"/>
    <w:pPr>
      <w:spacing w:after="120"/>
      <w:ind w:left="1440" w:right="1440"/>
    </w:pPr>
  </w:style>
  <w:style w:type="character" w:customStyle="1" w:styleId="Subscript">
    <w:name w:val="Subscript"/>
    <w:rsid w:val="00CA6CE2"/>
    <w:rPr>
      <w:sz w:val="16"/>
      <w:vertAlign w:val="subscript"/>
    </w:rPr>
  </w:style>
  <w:style w:type="character" w:customStyle="1" w:styleId="Superscript">
    <w:name w:val="Superscript"/>
    <w:rsid w:val="00CA6CE2"/>
    <w:rPr>
      <w:sz w:val="16"/>
      <w:vertAlign w:val="superscript"/>
    </w:rPr>
  </w:style>
  <w:style w:type="character" w:customStyle="1" w:styleId="Symbols">
    <w:name w:val="Symbols"/>
    <w:rsid w:val="00CA6CE2"/>
    <w:rPr>
      <w:rFonts w:ascii="Symbol" w:hAnsi="Symbol"/>
    </w:rPr>
  </w:style>
  <w:style w:type="character" w:customStyle="1" w:styleId="MenuOptions">
    <w:name w:val="Menu Options"/>
    <w:rsid w:val="00CA6CE2"/>
    <w:rPr>
      <w:rFonts w:ascii="Arial Narrow" w:hAnsi="Arial Narrow"/>
      <w:smallCaps/>
    </w:rPr>
  </w:style>
  <w:style w:type="character" w:customStyle="1" w:styleId="Buttons">
    <w:name w:val="Buttons"/>
    <w:rsid w:val="00CA6CE2"/>
    <w:rPr>
      <w:b/>
    </w:rPr>
  </w:style>
  <w:style w:type="character" w:customStyle="1" w:styleId="Underlined">
    <w:name w:val="Underlined"/>
    <w:rsid w:val="00CA6CE2"/>
    <w:rPr>
      <w:u w:val="single"/>
    </w:rPr>
  </w:style>
  <w:style w:type="paragraph" w:customStyle="1" w:styleId="TableBodyTextRight">
    <w:name w:val="Table Body Text Right"/>
    <w:basedOn w:val="TableBodyText"/>
    <w:rsid w:val="00CA6CE2"/>
    <w:pPr>
      <w:widowControl w:val="0"/>
      <w:autoSpaceDE w:val="0"/>
      <w:autoSpaceDN w:val="0"/>
      <w:adjustRightInd w:val="0"/>
      <w:jc w:val="right"/>
    </w:pPr>
    <w:rPr>
      <w:rFonts w:cs="Arial"/>
      <w:szCs w:val="18"/>
    </w:rPr>
  </w:style>
  <w:style w:type="paragraph" w:customStyle="1" w:styleId="CopyrightText">
    <w:name w:val="Copyright Text"/>
    <w:basedOn w:val="BodyText"/>
    <w:rsid w:val="00CA6CE2"/>
    <w:rPr>
      <w:sz w:val="18"/>
    </w:rPr>
  </w:style>
  <w:style w:type="paragraph" w:customStyle="1" w:styleId="BodySmallRight">
    <w:name w:val="Body Small Right"/>
    <w:basedOn w:val="BodyTextRight"/>
    <w:rsid w:val="00CA6CE2"/>
    <w:rPr>
      <w:sz w:val="18"/>
      <w:szCs w:val="18"/>
    </w:rPr>
  </w:style>
  <w:style w:type="paragraph" w:customStyle="1" w:styleId="MarginEdition">
    <w:name w:val="Margin Edition"/>
    <w:basedOn w:val="MarginNote"/>
    <w:rsid w:val="00CA6CE2"/>
    <w:pPr>
      <w:spacing w:before="0" w:after="0"/>
    </w:pPr>
    <w:rPr>
      <w:rFonts w:ascii="Times New Roman" w:hAnsi="Times New Roman"/>
      <w:color w:val="999999"/>
    </w:rPr>
  </w:style>
  <w:style w:type="paragraph" w:customStyle="1" w:styleId="Spacer">
    <w:name w:val="Spacer"/>
    <w:basedOn w:val="Normal"/>
    <w:rsid w:val="00CA6CE2"/>
    <w:rPr>
      <w:sz w:val="2"/>
      <w:szCs w:val="2"/>
    </w:rPr>
  </w:style>
  <w:style w:type="character" w:customStyle="1" w:styleId="Small">
    <w:name w:val="Small"/>
    <w:rsid w:val="00CA6CE2"/>
    <w:rPr>
      <w:sz w:val="16"/>
    </w:rPr>
  </w:style>
  <w:style w:type="paragraph" w:customStyle="1" w:styleId="WideTable">
    <w:name w:val="Wide Table"/>
    <w:basedOn w:val="Normal"/>
    <w:rsid w:val="00CA6CE2"/>
    <w:pPr>
      <w:ind w:left="-1418"/>
    </w:pPr>
    <w:rPr>
      <w:sz w:val="2"/>
      <w:szCs w:val="2"/>
    </w:rPr>
  </w:style>
  <w:style w:type="character" w:styleId="PageNumber">
    <w:name w:val="page number"/>
    <w:rsid w:val="00CA6CE2"/>
  </w:style>
  <w:style w:type="paragraph" w:styleId="Quote">
    <w:name w:val="Quote"/>
    <w:basedOn w:val="Heading1"/>
    <w:link w:val="QuoteChar"/>
    <w:qFormat/>
    <w:rsid w:val="00CA6CE2"/>
    <w:rPr>
      <w:b w:val="0"/>
      <w:sz w:val="72"/>
      <w:szCs w:val="72"/>
      <w:lang w:val="en-NZ"/>
    </w:rPr>
  </w:style>
  <w:style w:type="character" w:customStyle="1" w:styleId="QuoteChar">
    <w:name w:val="Quote Char"/>
    <w:link w:val="Quote"/>
    <w:rsid w:val="00CA6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CE2"/>
    <w:pPr>
      <w:pageBreakBefore/>
    </w:pPr>
  </w:style>
  <w:style w:type="paragraph" w:customStyle="1" w:styleId="Border">
    <w:name w:val="Border"/>
    <w:basedOn w:val="Normal"/>
    <w:qFormat/>
    <w:rsid w:val="00CA6CE2"/>
    <w:pPr>
      <w:pBdr>
        <w:top w:val="single" w:sz="18" w:space="1" w:color="auto"/>
      </w:pBdr>
    </w:pPr>
    <w:rPr>
      <w:rFonts w:ascii="Times New Roman" w:hAnsi="Times New Roman"/>
      <w:color w:val="FFFFFF"/>
      <w:sz w:val="2"/>
    </w:rPr>
  </w:style>
  <w:style w:type="character" w:styleId="IntenseEmphasis">
    <w:name w:val="Intense Emphasis"/>
    <w:uiPriority w:val="21"/>
    <w:qFormat/>
    <w:rsid w:val="00CA6CE2"/>
    <w:rPr>
      <w:b/>
      <w:bCs/>
      <w:i/>
      <w:iCs/>
      <w:color w:val="auto"/>
    </w:rPr>
  </w:style>
  <w:style w:type="paragraph" w:styleId="IntenseQuote">
    <w:name w:val="Intense Quote"/>
    <w:basedOn w:val="Normal"/>
    <w:next w:val="Normal"/>
    <w:link w:val="IntenseQuoteChar"/>
    <w:uiPriority w:val="30"/>
    <w:qFormat/>
    <w:rsid w:val="00CA6C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6CE2"/>
    <w:rPr>
      <w:rFonts w:ascii="Courier New" w:eastAsia="Times New Roman" w:hAnsi="Courier New" w:cs="Times New Roman"/>
      <w:b/>
      <w:bCs/>
      <w:i/>
      <w:iCs/>
      <w:szCs w:val="20"/>
      <w:lang w:val="en-US" w:eastAsia="en-US"/>
    </w:rPr>
  </w:style>
  <w:style w:type="character" w:styleId="SubtleReference">
    <w:name w:val="Subtle Reference"/>
    <w:uiPriority w:val="31"/>
    <w:qFormat/>
    <w:rsid w:val="00CA6CE2"/>
    <w:rPr>
      <w:smallCaps/>
      <w:color w:val="auto"/>
      <w:u w:val="single"/>
    </w:rPr>
  </w:style>
  <w:style w:type="character" w:styleId="IntenseReference">
    <w:name w:val="Intense Reference"/>
    <w:uiPriority w:val="32"/>
    <w:qFormat/>
    <w:rsid w:val="00CA6CE2"/>
    <w:rPr>
      <w:b/>
      <w:bCs/>
      <w:smallCaps/>
      <w:color w:val="auto"/>
      <w:spacing w:val="5"/>
      <w:u w:val="single"/>
    </w:rPr>
  </w:style>
  <w:style w:type="paragraph" w:customStyle="1" w:styleId="2ColumnHeading">
    <w:name w:val="2Column Heading"/>
    <w:basedOn w:val="BodyText"/>
    <w:qFormat/>
    <w:rsid w:val="00CA6CE2"/>
    <w:pPr>
      <w:spacing w:after="60"/>
      <w:ind w:left="-2268"/>
    </w:pPr>
    <w:rPr>
      <w:b/>
    </w:rPr>
  </w:style>
  <w:style w:type="paragraph" w:customStyle="1" w:styleId="Heading1TOC">
    <w:name w:val="Heading1 TOC"/>
    <w:basedOn w:val="Normal"/>
    <w:qFormat/>
    <w:rsid w:val="00CA6CE2"/>
    <w:pPr>
      <w:spacing w:before="240" w:after="120"/>
    </w:pPr>
    <w:rPr>
      <w:rFonts w:ascii="Times New Roman" w:hAnsi="Times New Roman"/>
      <w:b/>
      <w:sz w:val="32"/>
    </w:rPr>
  </w:style>
  <w:style w:type="paragraph" w:customStyle="1" w:styleId="Heading2TOC">
    <w:name w:val="Heading2 TOC"/>
    <w:basedOn w:val="Normal"/>
    <w:qFormat/>
    <w:rsid w:val="00CA6CE2"/>
    <w:pPr>
      <w:spacing w:before="240" w:after="60"/>
    </w:pPr>
    <w:rPr>
      <w:rFonts w:ascii="Times New Roman" w:hAnsi="Times New Roman"/>
      <w:b/>
      <w:sz w:val="28"/>
    </w:rPr>
  </w:style>
  <w:style w:type="character" w:customStyle="1" w:styleId="Underline">
    <w:name w:val="Underline"/>
    <w:qFormat/>
    <w:rsid w:val="00CA6CE2"/>
    <w:rPr>
      <w:u w:val="single"/>
    </w:rPr>
  </w:style>
  <w:style w:type="paragraph" w:styleId="BalloonText">
    <w:name w:val="Balloon Text"/>
    <w:basedOn w:val="Normal"/>
    <w:link w:val="BalloonTextChar"/>
    <w:rsid w:val="00CA6CE2"/>
    <w:rPr>
      <w:rFonts w:ascii="Tahoma" w:hAnsi="Tahoma" w:cs="Tahoma"/>
      <w:sz w:val="16"/>
      <w:szCs w:val="16"/>
    </w:rPr>
  </w:style>
  <w:style w:type="character" w:customStyle="1" w:styleId="BalloonTextChar">
    <w:name w:val="Balloon Text Char"/>
    <w:link w:val="BalloonText"/>
    <w:rsid w:val="00CA6C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6C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6C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1425</Words>
  <Characters>9460</Characters>
  <Application>Microsoft Office Word</Application>
  <DocSecurity>0</DocSecurity>
  <Lines>307</Lines>
  <Paragraphs>157</Paragraphs>
  <ScaleCrop>false</ScaleCrop>
  <Company>Author-it Software Corporation Ltd.</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FDFPH2009A Dispense pharmaceutical raw materials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