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2AF9" w:rsidP="00452AF9">
      <w:pPr>
        <w:pStyle w:val="Title"/>
      </w:pPr>
      <w:r>
        <w:fldChar w:fldCharType="begin"/>
      </w:r>
      <w:r>
        <w:instrText xml:space="preserve"> TITLE   \* MERGEFORMAT </w:instrText>
      </w:r>
      <w:r>
        <w:fldChar w:fldCharType="separate"/>
      </w:r>
      <w:r>
        <w:t>FDFPH2003A Operate an extraction process</w:t>
      </w:r>
      <w:r>
        <w:fldChar w:fldCharType="end"/>
      </w:r>
    </w:p>
    <w:p w:rsidR="00452AF9" w:rsidP="00452AF9">
      <w:pPr>
        <w:pStyle w:val="Version"/>
        <w:sectPr w:rsidSect="00517C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17CEA" w:rsidP="00517CEA">
      <w:pPr>
        <w:pStyle w:val="SuperHeading"/>
      </w:pPr>
      <w:r w:rsidRPr="00517CEA">
        <w:t>FDFPH2003A Operate an extraction process</w:t>
      </w:r>
    </w:p>
    <w:p w:rsidR="00000000" w:rsidRPr="00517CEA" w:rsidP="00517CEA">
      <w:pPr>
        <w:pStyle w:val="SuperHeading"/>
      </w:pPr>
    </w:p>
    <w:p w:rsidR="00000000" w:rsidRPr="00517CEA" w:rsidP="00517CEA">
      <w:pPr>
        <w:pStyle w:val="Heading1"/>
      </w:pPr>
      <w:bookmarkStart w:id="1" w:name="O_75939"/>
      <w:bookmarkEnd w:id="1"/>
      <w:r w:rsidRPr="00517CEA">
        <w:t>Modification History</w:t>
      </w:r>
    </w:p>
    <w:p w:rsidR="00000000" w:rsidRPr="00517CEA" w:rsidP="00517CEA">
      <w:pPr>
        <w:pStyle w:val="BodyText"/>
      </w:pPr>
      <w:r w:rsidRPr="00517CEA">
        <w:t>Not applicable.</w:t>
      </w:r>
    </w:p>
    <w:p w:rsidR="00000000" w:rsidRPr="00517CEA" w:rsidP="00517CEA">
      <w:pPr>
        <w:pStyle w:val="AllowPageBreak"/>
      </w:pPr>
    </w:p>
    <w:p w:rsidR="00000000" w:rsidRPr="00517CEA" w:rsidP="00517CEA">
      <w:pPr>
        <w:pStyle w:val="Heading1"/>
      </w:pPr>
      <w:bookmarkStart w:id="2" w:name="O_75940"/>
      <w:bookmarkEnd w:id="2"/>
      <w:r w:rsidRPr="00517CEA">
        <w:t>Unit Descriptor</w:t>
      </w:r>
    </w:p>
    <w:tbl>
      <w:tblPr>
        <w:tblW w:w="0" w:type="auto"/>
        <w:tblLayout w:type="fixed"/>
        <w:tblCellMar>
          <w:left w:w="62" w:type="dxa"/>
          <w:right w:w="62" w:type="dxa"/>
        </w:tblCellMar>
        <w:tblLook w:val="0000"/>
      </w:tblPr>
      <w:tblGrid>
        <w:gridCol w:w="2664"/>
        <w:gridCol w:w="5858"/>
      </w:tblGrid>
      <w:tr w:rsidTr="00452AF9">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CEA">
            <w:pPr>
              <w:pStyle w:val="BodyText"/>
              <w:rPr>
                <w:lang w:val="en-NZ"/>
              </w:rPr>
            </w:pPr>
            <w:r w:rsidRPr="00517CEA">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CEA" w:rsidP="00517CEA">
            <w:pPr>
              <w:pStyle w:val="BodyText"/>
            </w:pPr>
            <w:r w:rsidRPr="00517CEA">
              <w:t>This unit of competency covers the skills and knowledge required to set up, operate, adjust and shut down proces</w:t>
            </w:r>
            <w:r w:rsidRPr="00517CEA">
              <w:t>ses used to extract phytochemicals from plant material using solvents.</w:t>
            </w:r>
          </w:p>
        </w:tc>
      </w:tr>
    </w:tbl>
    <w:p w:rsidR="00000000" w:rsidRPr="00517CEA" w:rsidP="00517CEA">
      <w:pPr>
        <w:pStyle w:val="BodyText"/>
      </w:pPr>
    </w:p>
    <w:p w:rsidR="00000000" w:rsidRPr="00517CEA" w:rsidP="00517CEA">
      <w:pPr>
        <w:pStyle w:val="AllowPageBreak"/>
      </w:pPr>
    </w:p>
    <w:p w:rsidR="00000000" w:rsidRPr="00517CEA" w:rsidP="00517CEA">
      <w:pPr>
        <w:pStyle w:val="Heading1"/>
      </w:pPr>
      <w:bookmarkStart w:id="3" w:name="O_75941"/>
      <w:bookmarkEnd w:id="3"/>
      <w:r w:rsidRPr="00517CEA">
        <w:t>Application of the Unit</w:t>
      </w:r>
    </w:p>
    <w:tbl>
      <w:tblPr>
        <w:tblW w:w="0" w:type="auto"/>
        <w:tblLayout w:type="fixed"/>
        <w:tblCellMar>
          <w:left w:w="62" w:type="dxa"/>
          <w:right w:w="62" w:type="dxa"/>
        </w:tblCellMar>
        <w:tblLook w:val="0000"/>
      </w:tblPr>
      <w:tblGrid>
        <w:gridCol w:w="2752"/>
        <w:gridCol w:w="5770"/>
      </w:tblGrid>
      <w:tr w:rsidTr="00452AF9">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CEA">
            <w:pPr>
              <w:pStyle w:val="BodyText"/>
              <w:rPr>
                <w:lang w:val="en-NZ"/>
              </w:rPr>
            </w:pPr>
            <w:r w:rsidRPr="00517CEA">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CEA" w:rsidP="00517CEA">
            <w:pPr>
              <w:pStyle w:val="BodyText"/>
            </w:pPr>
            <w:r w:rsidRPr="00517CEA">
              <w:t>This unit applies to production operators working in the pharmaceutical sector. This person would typically work within defined Good Manufacturing Practice (GMP) programs and procedures.</w:t>
            </w:r>
          </w:p>
        </w:tc>
      </w:tr>
    </w:tbl>
    <w:p w:rsidR="00000000" w:rsidRPr="00517CEA" w:rsidP="00517CEA">
      <w:pPr>
        <w:pStyle w:val="BodyText"/>
      </w:pPr>
    </w:p>
    <w:p w:rsidR="00000000" w:rsidRPr="00517CEA" w:rsidP="00517CEA">
      <w:pPr>
        <w:pStyle w:val="AllowPageBreak"/>
      </w:pPr>
    </w:p>
    <w:p w:rsidR="00000000" w:rsidRPr="00517CEA" w:rsidP="00517CEA">
      <w:pPr>
        <w:pStyle w:val="Heading1"/>
      </w:pPr>
      <w:bookmarkStart w:id="4" w:name="O_75942"/>
      <w:bookmarkEnd w:id="4"/>
      <w:r w:rsidRPr="00517CEA">
        <w:t>Licensing/Regulatory Information</w:t>
      </w:r>
    </w:p>
    <w:p w:rsidR="00000000" w:rsidRPr="00517CEA" w:rsidP="00517CEA">
      <w:pPr>
        <w:pStyle w:val="BodyText"/>
      </w:pPr>
      <w:r w:rsidRPr="00517CEA">
        <w:t>Not applicable.</w:t>
      </w:r>
    </w:p>
    <w:p w:rsidR="00000000" w:rsidRPr="00517CEA" w:rsidP="00517CEA">
      <w:pPr>
        <w:pStyle w:val="AllowPageBreak"/>
      </w:pPr>
    </w:p>
    <w:p w:rsidR="00000000" w:rsidRPr="00517CEA" w:rsidP="00517CEA">
      <w:pPr>
        <w:pStyle w:val="Heading1"/>
      </w:pPr>
      <w:bookmarkStart w:id="5" w:name="O_75944"/>
      <w:bookmarkEnd w:id="5"/>
      <w:r w:rsidRPr="00517CEA">
        <w:t>Pre-Requisites</w:t>
      </w:r>
    </w:p>
    <w:tbl>
      <w:tblPr>
        <w:tblW w:w="0" w:type="auto"/>
        <w:tblLayout w:type="fixed"/>
        <w:tblCellMar>
          <w:left w:w="62" w:type="dxa"/>
          <w:right w:w="62" w:type="dxa"/>
        </w:tblCellMar>
        <w:tblLook w:val="0000"/>
      </w:tblPr>
      <w:tblGrid>
        <w:gridCol w:w="2775"/>
        <w:gridCol w:w="1295"/>
        <w:gridCol w:w="4452"/>
      </w:tblGrid>
      <w:tr w:rsidTr="00452AF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CEA">
            <w:pPr>
              <w:pStyle w:val="BodyText"/>
              <w:rPr>
                <w:lang w:val="en-NZ"/>
              </w:rPr>
            </w:pPr>
            <w:r w:rsidRPr="00517CE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CEA">
            <w:pPr>
              <w:pStyle w:val="BodyText"/>
              <w:rPr>
                <w:lang w:val="en-NZ"/>
              </w:rPr>
            </w:pPr>
          </w:p>
        </w:tc>
      </w:tr>
      <w:tr w:rsidTr="00452AF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CEA">
            <w:pPr>
              <w:pStyle w:val="BodyText"/>
              <w:rPr>
                <w:lang w:val="en-NZ"/>
              </w:rPr>
            </w:pPr>
          </w:p>
        </w:tc>
      </w:tr>
      <w:tr w:rsidTr="00452AF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CEA" w:rsidP="00517CEA">
            <w:pPr>
              <w:pStyle w:val="BodyText"/>
            </w:pPr>
          </w:p>
        </w:tc>
      </w:tr>
    </w:tbl>
    <w:p w:rsidR="00000000" w:rsidRPr="00517CEA" w:rsidP="00517CEA">
      <w:pPr>
        <w:pStyle w:val="BodyText"/>
      </w:pPr>
    </w:p>
    <w:p w:rsidR="00000000" w:rsidRPr="00517CEA" w:rsidP="00517CEA">
      <w:pPr>
        <w:pStyle w:val="AllowPageBreak"/>
      </w:pPr>
    </w:p>
    <w:p w:rsidR="00000000" w:rsidRPr="00517CEA" w:rsidP="00517CEA">
      <w:pPr>
        <w:pStyle w:val="Heading1"/>
      </w:pPr>
      <w:bookmarkStart w:id="6" w:name="O_75943"/>
      <w:bookmarkEnd w:id="6"/>
      <w:r w:rsidRPr="00517CEA">
        <w:t>Employability Skills Information</w:t>
      </w:r>
    </w:p>
    <w:tbl>
      <w:tblPr>
        <w:tblW w:w="0" w:type="auto"/>
        <w:tblLayout w:type="fixed"/>
        <w:tblCellMar>
          <w:left w:w="62" w:type="dxa"/>
          <w:right w:w="62" w:type="dxa"/>
        </w:tblCellMar>
        <w:tblLook w:val="0000"/>
      </w:tblPr>
      <w:tblGrid>
        <w:gridCol w:w="2802"/>
        <w:gridCol w:w="5720"/>
      </w:tblGrid>
      <w:tr w:rsidTr="00452AF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CEA">
            <w:pPr>
              <w:pStyle w:val="BodyText"/>
              <w:rPr>
                <w:lang w:val="en-NZ"/>
              </w:rPr>
            </w:pPr>
            <w:r w:rsidRPr="00517CE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CEA" w:rsidP="00517CEA">
            <w:pPr>
              <w:pStyle w:val="BodyText"/>
            </w:pPr>
            <w:r w:rsidRPr="00517CEA">
              <w:t xml:space="preserve">This unit contains employability skills.  </w:t>
            </w:r>
          </w:p>
        </w:tc>
      </w:tr>
    </w:tbl>
    <w:p w:rsidR="00000000" w:rsidRPr="00517CEA" w:rsidP="00517CEA">
      <w:pPr>
        <w:pStyle w:val="BodyText"/>
      </w:pPr>
    </w:p>
    <w:p w:rsidR="00000000" w:rsidRPr="00517CEA" w:rsidP="00517CEA">
      <w:pPr>
        <w:pStyle w:val="AllowPageBreak"/>
      </w:pPr>
    </w:p>
    <w:p w:rsidR="00000000" w:rsidRPr="00517CEA" w:rsidP="00517CEA">
      <w:pPr>
        <w:pStyle w:val="Heading1"/>
      </w:pPr>
      <w:bookmarkStart w:id="7" w:name="O_75945"/>
      <w:bookmarkEnd w:id="7"/>
      <w:r w:rsidRPr="00517CEA">
        <w:t>Elements and Performance Criteria Pre-Content</w:t>
      </w:r>
    </w:p>
    <w:tbl>
      <w:tblPr>
        <w:tblW w:w="0" w:type="auto"/>
        <w:tblLayout w:type="fixed"/>
        <w:tblCellMar>
          <w:left w:w="62" w:type="dxa"/>
          <w:right w:w="62" w:type="dxa"/>
        </w:tblCellMar>
        <w:tblLook w:val="0000"/>
      </w:tblPr>
      <w:tblGrid>
        <w:gridCol w:w="2538"/>
        <w:gridCol w:w="5984"/>
      </w:tblGrid>
      <w:tr w:rsidTr="00452AF9">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CEA">
            <w:pPr>
              <w:pStyle w:val="BodyText"/>
              <w:rPr>
                <w:lang w:val="en-NZ"/>
              </w:rPr>
            </w:pPr>
            <w:r w:rsidRPr="00517CEA">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CEA" w:rsidP="00517CEA">
            <w:pPr>
              <w:pStyle w:val="BodyText"/>
            </w:pPr>
            <w:r w:rsidRPr="00517CEA">
              <w:t>Performance criteria describe the performance needed to demonstrate achievement of the element. Where bold italicised text is used, further information is detailed in the required skills and</w:t>
            </w:r>
            <w:r w:rsidRPr="00517CEA">
              <w:t xml:space="preserve"> knowledge section and the range statement. Assessment of performance is to be consistent with the evidence guide.</w:t>
            </w:r>
          </w:p>
        </w:tc>
      </w:tr>
    </w:tbl>
    <w:p w:rsidR="00000000" w:rsidRPr="00517CEA" w:rsidP="00517CEA">
      <w:pPr>
        <w:pStyle w:val="BodyText"/>
      </w:pPr>
    </w:p>
    <w:p w:rsidR="00000000" w:rsidRPr="00517CEA" w:rsidP="00517CEA">
      <w:pPr>
        <w:pStyle w:val="AllowPageBreak"/>
      </w:pPr>
    </w:p>
    <w:p w:rsidR="00000000" w:rsidRPr="00517CEA" w:rsidP="00517CEA">
      <w:pPr>
        <w:pStyle w:val="Heading1"/>
      </w:pPr>
      <w:bookmarkStart w:id="8" w:name="O_75946"/>
      <w:bookmarkEnd w:id="8"/>
      <w:r w:rsidRPr="00517CEA">
        <w:t>Elements and Performance Criteria</w:t>
      </w:r>
    </w:p>
    <w:tbl>
      <w:tblPr>
        <w:tblW w:w="0" w:type="auto"/>
        <w:tblLayout w:type="fixed"/>
        <w:tblCellMar>
          <w:left w:w="62" w:type="dxa"/>
          <w:right w:w="62" w:type="dxa"/>
        </w:tblCellMar>
        <w:tblLook w:val="0000"/>
      </w:tblPr>
      <w:tblGrid>
        <w:gridCol w:w="2538"/>
        <w:gridCol w:w="5984"/>
      </w:tblGrid>
      <w:tr w:rsidTr="00452AF9">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CEA" w:rsidP="00517CEA">
            <w:pPr>
              <w:pStyle w:val="BodyText"/>
            </w:pPr>
            <w:r w:rsidRPr="00517CEA">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CEA">
            <w:pPr>
              <w:pStyle w:val="BodyText"/>
              <w:rPr>
                <w:lang w:val="en-NZ"/>
              </w:rPr>
            </w:pPr>
            <w:r w:rsidRPr="00517CEA">
              <w:rPr>
                <w:rStyle w:val="SpecialBold"/>
              </w:rPr>
              <w:t>PERFORMANCE CRITERIA</w:t>
            </w:r>
          </w:p>
        </w:tc>
      </w:tr>
      <w:tr w:rsidTr="00452AF9">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CEA">
            <w:pPr>
              <w:pStyle w:val="List"/>
              <w:rPr>
                <w:lang w:val="en-NZ"/>
              </w:rPr>
            </w:pPr>
            <w:r w:rsidRPr="00517CEA">
              <w:t>1.</w:t>
            </w:r>
            <w:r w:rsidRPr="00517CEA">
              <w:tab/>
            </w:r>
            <w:r w:rsidRPr="00517CEA">
              <w:t>Prepare the extraction equipment and process for operation</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CEA" w:rsidP="00517CEA">
            <w:pPr>
              <w:pStyle w:val="List2"/>
            </w:pPr>
            <w:r w:rsidRPr="00517CEA">
              <w:t>1.1.</w:t>
            </w:r>
            <w:r w:rsidRPr="00517CEA">
              <w:tab/>
              <w:t>Materials are confirmed, blended and prepared to meet production requirements</w:t>
            </w:r>
          </w:p>
          <w:p w:rsidR="00000000" w:rsidRPr="00517CEA" w:rsidP="00517CEA">
            <w:pPr>
              <w:pStyle w:val="List2"/>
            </w:pPr>
            <w:r w:rsidRPr="00517CEA">
              <w:t>1.2.</w:t>
            </w:r>
            <w:r w:rsidRPr="00517CEA">
              <w:tab/>
              <w:t>Workplace documentation relevant to work area activities is identified and followed</w:t>
            </w:r>
          </w:p>
          <w:p w:rsidR="00000000" w:rsidRPr="00517CEA" w:rsidP="00517CEA">
            <w:pPr>
              <w:pStyle w:val="List2"/>
            </w:pPr>
            <w:r w:rsidRPr="00517CEA">
              <w:t>1.3.</w:t>
            </w:r>
            <w:r w:rsidRPr="00517CEA">
              <w:tab/>
              <w:t>The required facilit</w:t>
            </w:r>
            <w:r w:rsidRPr="00517CEA">
              <w:t>ies, storage, equipment and personnel are available</w:t>
            </w:r>
          </w:p>
          <w:p w:rsidR="00000000" w:rsidRPr="00517CEA" w:rsidP="00517CEA">
            <w:pPr>
              <w:pStyle w:val="List2"/>
            </w:pPr>
            <w:r w:rsidRPr="00517CEA">
              <w:t>1.4.</w:t>
            </w:r>
            <w:r w:rsidRPr="00517CEA">
              <w:tab/>
              <w:t>Line clearance procedures have been carried out</w:t>
            </w:r>
          </w:p>
          <w:p w:rsidR="00000000" w:rsidRPr="00517CEA" w:rsidP="00517CEA">
            <w:pPr>
              <w:pStyle w:val="List2"/>
            </w:pPr>
            <w:r w:rsidRPr="00517CEA">
              <w:t>1.5.</w:t>
            </w:r>
            <w:r w:rsidRPr="00517CEA">
              <w:tab/>
              <w:t>Procedures to eliminate or control the risk of cross-contamination are followed</w:t>
            </w:r>
          </w:p>
          <w:p w:rsidR="00000000" w:rsidP="00517CEA">
            <w:pPr>
              <w:pStyle w:val="List2"/>
              <w:rPr>
                <w:lang w:val="en-NZ"/>
              </w:rPr>
            </w:pPr>
            <w:r w:rsidRPr="00517CEA">
              <w:t>1.6.</w:t>
            </w:r>
            <w:r w:rsidRPr="00517CEA">
              <w:tab/>
              <w:t xml:space="preserve">Material is loaded into percolator and solvents are added to </w:t>
            </w:r>
            <w:r w:rsidRPr="00517CEA">
              <w:t>specification</w:t>
            </w:r>
          </w:p>
        </w:tc>
      </w:tr>
      <w:tr w:rsidTr="00452AF9">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CEA">
            <w:pPr>
              <w:pStyle w:val="List"/>
              <w:rPr>
                <w:lang w:val="en-NZ"/>
              </w:rPr>
            </w:pPr>
            <w:r w:rsidRPr="00517CEA">
              <w:t>2.</w:t>
            </w:r>
            <w:r w:rsidRPr="00517CEA">
              <w:tab/>
              <w:t>Operate and monitor the extraction process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CEA" w:rsidP="00517CEA">
            <w:pPr>
              <w:pStyle w:val="List2"/>
            </w:pPr>
            <w:r w:rsidRPr="00517CEA">
              <w:t>2.1.</w:t>
            </w:r>
            <w:r w:rsidRPr="00517CEA">
              <w:tab/>
              <w:t>The extraction process is monitored to confirm that specifications are met</w:t>
            </w:r>
          </w:p>
          <w:p w:rsidR="00000000" w:rsidRPr="00517CEA" w:rsidP="00517CEA">
            <w:pPr>
              <w:pStyle w:val="List2"/>
            </w:pPr>
            <w:r w:rsidRPr="00517CEA">
              <w:t>2.2.</w:t>
            </w:r>
            <w:r w:rsidRPr="00517CEA">
              <w:tab/>
              <w:t>Out-of-specification product/process is identified, rectified and/or reported to maintain the process within s</w:t>
            </w:r>
            <w:r w:rsidRPr="00517CEA">
              <w:t>pecification</w:t>
            </w:r>
          </w:p>
          <w:p w:rsidR="00000000" w:rsidRPr="00517CEA" w:rsidP="00517CEA">
            <w:pPr>
              <w:pStyle w:val="List2"/>
            </w:pPr>
            <w:r w:rsidRPr="00517CEA">
              <w:t>2.3.</w:t>
            </w:r>
            <w:r w:rsidRPr="00517CEA">
              <w:tab/>
              <w:t>The work area is maintained according to housekeeping standards</w:t>
            </w:r>
          </w:p>
          <w:p w:rsidR="00000000" w:rsidRPr="00517CEA" w:rsidP="00517CEA">
            <w:pPr>
              <w:pStyle w:val="List2"/>
            </w:pPr>
            <w:r w:rsidRPr="00517CEA">
              <w:t>2.4.</w:t>
            </w:r>
            <w:r w:rsidRPr="00517CEA">
              <w:tab/>
              <w:t>Work is conducted according to environmental standards</w:t>
            </w:r>
          </w:p>
          <w:p w:rsidR="00000000" w:rsidP="00517CEA">
            <w:pPr>
              <w:pStyle w:val="List2"/>
              <w:rPr>
                <w:lang w:val="en-NZ"/>
              </w:rPr>
            </w:pPr>
            <w:r w:rsidRPr="00517CEA">
              <w:t>2.5.</w:t>
            </w:r>
            <w:r w:rsidRPr="00517CEA">
              <w:tab/>
              <w:t>Workplace documentation is maintained according to workplace reporting requirements</w:t>
            </w:r>
          </w:p>
        </w:tc>
      </w:tr>
      <w:tr w:rsidTr="00452AF9">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CEA">
            <w:pPr>
              <w:pStyle w:val="List"/>
              <w:rPr>
                <w:lang w:val="en-NZ"/>
              </w:rPr>
            </w:pPr>
            <w:r w:rsidRPr="00517CEA">
              <w:t>3.</w:t>
            </w:r>
            <w:r w:rsidRPr="00517CEA">
              <w:tab/>
            </w:r>
            <w:r w:rsidRPr="00517CEA">
              <w:t>Shut down the extraction process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CEA" w:rsidP="00517CEA">
            <w:pPr>
              <w:pStyle w:val="List2"/>
            </w:pPr>
            <w:r w:rsidRPr="00517CEA">
              <w:t>3.1.</w:t>
            </w:r>
            <w:r w:rsidRPr="00517CEA">
              <w:tab/>
              <w:t>The process is shut down according to workplace procedures and work practices</w:t>
            </w:r>
          </w:p>
          <w:p w:rsidR="00000000" w:rsidRPr="00517CEA" w:rsidP="00517CEA">
            <w:pPr>
              <w:pStyle w:val="List2"/>
            </w:pPr>
            <w:r w:rsidRPr="00517CEA">
              <w:t>3.2.</w:t>
            </w:r>
            <w:r w:rsidRPr="00517CEA">
              <w:tab/>
              <w:t>Maintenance requirements are identified and reported according to workplace reporting requirements</w:t>
            </w:r>
          </w:p>
        </w:tc>
      </w:tr>
    </w:tbl>
    <w:p w:rsidR="00000000" w:rsidRPr="00517CEA" w:rsidP="00517CEA">
      <w:pPr>
        <w:pStyle w:val="BodyText"/>
      </w:pPr>
    </w:p>
    <w:p w:rsidR="00000000" w:rsidRPr="00517CEA" w:rsidP="00517CEA">
      <w:pPr>
        <w:pStyle w:val="AllowPageBreak"/>
      </w:pPr>
    </w:p>
    <w:p w:rsidR="00000000" w:rsidRPr="00517CEA" w:rsidP="00517CEA">
      <w:pPr>
        <w:pStyle w:val="Heading1"/>
      </w:pPr>
      <w:bookmarkStart w:id="9" w:name="O_75947"/>
      <w:bookmarkEnd w:id="9"/>
      <w:r w:rsidRPr="00517CEA">
        <w:t>Required Skills and</w:t>
      </w:r>
      <w:r w:rsidRPr="00517CEA">
        <w:t xml:space="preserve"> Knowledge</w:t>
      </w:r>
    </w:p>
    <w:tbl>
      <w:tblPr>
        <w:tblW w:w="0" w:type="auto"/>
        <w:tblLayout w:type="fixed"/>
        <w:tblCellMar>
          <w:left w:w="62" w:type="dxa"/>
          <w:right w:w="62" w:type="dxa"/>
        </w:tblCellMar>
        <w:tblLook w:val="0000"/>
      </w:tblPr>
      <w:tblGrid>
        <w:gridCol w:w="8522"/>
      </w:tblGrid>
      <w:tr w:rsidTr="00452AF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7CEA">
            <w:pPr>
              <w:pStyle w:val="BodyText"/>
              <w:rPr>
                <w:lang w:val="en-NZ"/>
              </w:rPr>
            </w:pPr>
            <w:r w:rsidRPr="00517CEA">
              <w:rPr>
                <w:rStyle w:val="SpecialBold"/>
              </w:rPr>
              <w:t>REQUIRED SKILLS AND KNOWLEDGE</w:t>
            </w:r>
          </w:p>
        </w:tc>
      </w:tr>
      <w:tr w:rsidTr="00452AF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17CEA">
            <w:pPr>
              <w:pStyle w:val="BodyText"/>
              <w:rPr>
                <w:lang w:val="en-NZ"/>
              </w:rPr>
            </w:pPr>
            <w:r w:rsidRPr="00517CEA">
              <w:t>This section describes the skills and knowledge required for this unit.</w:t>
            </w:r>
          </w:p>
        </w:tc>
      </w:tr>
      <w:tr w:rsidTr="00452A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CEA">
            <w:pPr>
              <w:pStyle w:val="BodyText"/>
              <w:rPr>
                <w:lang w:val="en-NZ"/>
              </w:rPr>
            </w:pPr>
            <w:r w:rsidRPr="00517CEA">
              <w:rPr>
                <w:rStyle w:val="SpecialBold"/>
              </w:rPr>
              <w:t>Required skills</w:t>
            </w:r>
          </w:p>
        </w:tc>
      </w:tr>
      <w:tr w:rsidTr="00452A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CEA" w:rsidP="00517CEA">
            <w:pPr>
              <w:pStyle w:val="BodyText"/>
            </w:pPr>
            <w:r w:rsidRPr="00517CEA">
              <w:rPr>
                <w:rStyle w:val="BoldandItalics"/>
              </w:rPr>
              <w:t>Ability to</w:t>
            </w:r>
            <w:r w:rsidRPr="00517CEA">
              <w:t>:</w:t>
            </w:r>
          </w:p>
          <w:p w:rsidR="00000000" w:rsidRPr="00517CEA" w:rsidP="00517CEA">
            <w:pPr>
              <w:pStyle w:val="ListBullet"/>
            </w:pPr>
            <w:r w:rsidRPr="00517CEA">
              <w:t>select, fit and use personal protective clothing and/or equipment</w:t>
            </w:r>
          </w:p>
          <w:p w:rsidR="00000000" w:rsidRPr="00517CEA" w:rsidP="00517CEA">
            <w:pPr>
              <w:pStyle w:val="ListBullet"/>
            </w:pPr>
            <w:r w:rsidRPr="00517CEA">
              <w:t>conduct pre-start checks, such as inspecting equipment condition to identify any signs of wear, confirming that equipment is clean and correctly configured for processing requirements, positioning sensors and controls correctly, ensuring any scheduled main</w:t>
            </w:r>
            <w:r w:rsidRPr="00517CEA">
              <w:t>tenance has been carried out, and placing sand filters/scourers in base of percolators where required</w:t>
            </w:r>
          </w:p>
          <w:p w:rsidR="00000000" w:rsidRPr="00517CEA" w:rsidP="00517CEA">
            <w:pPr>
              <w:pStyle w:val="ListBullet"/>
            </w:pPr>
            <w:r w:rsidRPr="00517CEA">
              <w:t>start, operate, monitor and adjust process to achieve required outcomes, including monitoring control points and conducting inspections as required to con</w:t>
            </w:r>
            <w:r w:rsidRPr="00517CEA">
              <w:t>firm process remains within specification, such as:</w:t>
            </w:r>
          </w:p>
          <w:p w:rsidR="00000000" w:rsidRPr="00517CEA" w:rsidP="00517CEA">
            <w:pPr>
              <w:pStyle w:val="ListBullet2"/>
            </w:pPr>
            <w:r w:rsidRPr="00517CEA">
              <w:t>density of herbs in percolator, including re-packing of percolator as required</w:t>
            </w:r>
          </w:p>
          <w:p w:rsidR="00000000" w:rsidRPr="00517CEA" w:rsidP="00517CEA">
            <w:pPr>
              <w:pStyle w:val="ListBullet2"/>
            </w:pPr>
            <w:r w:rsidRPr="00517CEA">
              <w:t>rate/amount of solvent addition</w:t>
            </w:r>
          </w:p>
          <w:p w:rsidR="00000000" w:rsidRPr="00517CEA" w:rsidP="00517CEA">
            <w:pPr>
              <w:pStyle w:val="ListBullet2"/>
            </w:pPr>
            <w:r w:rsidRPr="00517CEA">
              <w:t xml:space="preserve">extract collection and yield </w:t>
            </w:r>
          </w:p>
          <w:p w:rsidR="00000000" w:rsidRPr="00517CEA" w:rsidP="00517CEA">
            <w:pPr>
              <w:pStyle w:val="ListBullet"/>
            </w:pPr>
            <w:r w:rsidRPr="00517CEA">
              <w:t>take corrective action in response to out-of-specification re</w:t>
            </w:r>
            <w:r w:rsidRPr="00517CEA">
              <w:t>sults</w:t>
            </w:r>
          </w:p>
          <w:p w:rsidR="00000000" w:rsidRPr="00517CEA" w:rsidP="00517CEA">
            <w:pPr>
              <w:pStyle w:val="ListBullet"/>
            </w:pPr>
            <w:r w:rsidRPr="00517CEA">
              <w:t>respond to and/or report equipment failure within level of responsibility</w:t>
            </w:r>
          </w:p>
          <w:p w:rsidR="00000000" w:rsidRPr="00517CEA" w:rsidP="00517CEA">
            <w:pPr>
              <w:pStyle w:val="ListBullet"/>
            </w:pPr>
            <w:r w:rsidRPr="00517CEA">
              <w:t>demonstrate batch/product changeovers including line clearance procedures</w:t>
            </w:r>
          </w:p>
          <w:p w:rsidR="00000000" w:rsidRPr="00517CEA" w:rsidP="00517CEA">
            <w:pPr>
              <w:pStyle w:val="ListBullet"/>
            </w:pPr>
            <w:r w:rsidRPr="00517CEA">
              <w:t>sort, collect, treat, recycle or dispose of waste</w:t>
            </w:r>
          </w:p>
          <w:p w:rsidR="00000000" w:rsidRPr="00517CEA" w:rsidP="00517CEA">
            <w:pPr>
              <w:pStyle w:val="ListBullet"/>
            </w:pPr>
            <w:r w:rsidRPr="00517CEA">
              <w:t>clean and sanitise equipment as required as required</w:t>
            </w:r>
          </w:p>
          <w:p w:rsidR="00000000" w:rsidRPr="00517CEA" w:rsidP="00517CEA">
            <w:pPr>
              <w:pStyle w:val="ListBullet"/>
            </w:pPr>
            <w:r w:rsidRPr="00517CEA">
              <w:t>complete workplace records as required</w:t>
            </w:r>
          </w:p>
          <w:p w:rsidR="00000000" w:rsidRPr="00517CEA" w:rsidP="00517CEA">
            <w:pPr>
              <w:pStyle w:val="ListBullet"/>
            </w:pPr>
            <w:r w:rsidRPr="00517CEA">
              <w:t>maintain work area to meet housekeeping standards</w:t>
            </w:r>
          </w:p>
          <w:p w:rsidR="00000000" w:rsidRPr="00517CEA" w:rsidP="00517CEA">
            <w:pPr>
              <w:pStyle w:val="ListBullet"/>
            </w:pPr>
            <w:r w:rsidRPr="00517CEA">
              <w:t>use oral communication skills/language competence to fulfil the job role as specified by the organisation, including questioning, active listening, asking for clarifi</w:t>
            </w:r>
            <w:r w:rsidRPr="00517CEA">
              <w:t>cation and seeking advice from supervisor</w:t>
            </w:r>
          </w:p>
          <w:p w:rsidR="00000000" w:rsidP="00517CEA">
            <w:pPr>
              <w:pStyle w:val="ListBullet"/>
              <w:rPr>
                <w:lang w:val="en-NZ"/>
              </w:rPr>
            </w:pPr>
            <w:r w:rsidRPr="00517CEA">
              <w:t>work cooperatively within a culturally diverse workforce</w:t>
            </w:r>
          </w:p>
        </w:tc>
      </w:tr>
      <w:tr w:rsidTr="00452A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CEA">
            <w:pPr>
              <w:pStyle w:val="BodyText"/>
              <w:rPr>
                <w:lang w:val="en-NZ"/>
              </w:rPr>
            </w:pPr>
            <w:r w:rsidRPr="00517CEA">
              <w:rPr>
                <w:rStyle w:val="SpecialBold"/>
              </w:rPr>
              <w:t>Required knowledge</w:t>
            </w:r>
          </w:p>
        </w:tc>
      </w:tr>
      <w:tr w:rsidTr="00452A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CEA" w:rsidP="00517CEA">
            <w:pPr>
              <w:pStyle w:val="BodyText"/>
            </w:pPr>
            <w:r w:rsidRPr="00517CEA">
              <w:rPr>
                <w:rStyle w:val="BoldandItalics"/>
              </w:rPr>
              <w:t>Knowledge of</w:t>
            </w:r>
            <w:r w:rsidRPr="00517CEA">
              <w:t>:</w:t>
            </w:r>
          </w:p>
          <w:p w:rsidR="00000000" w:rsidRPr="00517CEA" w:rsidP="00517CEA">
            <w:pPr>
              <w:pStyle w:val="ListBullet"/>
            </w:pPr>
            <w:r w:rsidRPr="00517CEA">
              <w:t xml:space="preserve">purpose and principles of each stage of the extraction process, including the effect </w:t>
            </w:r>
            <w:r w:rsidRPr="00517CEA">
              <w:t>of herb density on filtration and packing process required for different types of herbs</w:t>
            </w:r>
          </w:p>
          <w:p w:rsidR="00000000" w:rsidRPr="00517CEA" w:rsidP="00517CEA">
            <w:pPr>
              <w:pStyle w:val="ListBullet"/>
            </w:pPr>
            <w:r w:rsidRPr="00517CEA">
              <w:t xml:space="preserve">basic operating principles of equipment, including main equipment components and equipment operating capacities and applications </w:t>
            </w:r>
          </w:p>
          <w:p w:rsidR="00000000" w:rsidRPr="00517CEA" w:rsidP="00517CEA">
            <w:pPr>
              <w:pStyle w:val="ListBullet"/>
            </w:pPr>
            <w:r w:rsidRPr="00517CEA">
              <w:t xml:space="preserve">quality requirements of materials and </w:t>
            </w:r>
            <w:r w:rsidRPr="00517CEA">
              <w:t>the effect of variation on the extraction process</w:t>
            </w:r>
          </w:p>
          <w:p w:rsidR="00000000" w:rsidRPr="00517CEA" w:rsidP="00517CEA">
            <w:pPr>
              <w:pStyle w:val="ListBullet"/>
            </w:pPr>
            <w:r w:rsidRPr="00517CEA">
              <w:t>process specifications, procedures and operating parameters for different products/materials</w:t>
            </w:r>
          </w:p>
          <w:p w:rsidR="00000000" w:rsidRPr="00517CEA" w:rsidP="00517CEA">
            <w:pPr>
              <w:pStyle w:val="ListBullet"/>
            </w:pPr>
            <w:r w:rsidRPr="00517CEA">
              <w:t>operating requirements and parameters and corrective action required where operation is outside specified operati</w:t>
            </w:r>
            <w:r w:rsidRPr="00517CEA">
              <w:t>ng parameters</w:t>
            </w:r>
          </w:p>
          <w:p w:rsidR="00000000" w:rsidRPr="00517CEA" w:rsidP="00517CEA">
            <w:pPr>
              <w:pStyle w:val="ListBullet"/>
            </w:pPr>
            <w:r w:rsidRPr="00517CEA">
              <w:t>typical equipment faults and related causes, including signs and symptoms of faulty equipment and early warning signs of potential problems</w:t>
            </w:r>
          </w:p>
          <w:p w:rsidR="00000000" w:rsidRPr="00517CEA" w:rsidP="00517CEA">
            <w:pPr>
              <w:pStyle w:val="ListBullet"/>
            </w:pPr>
            <w:r w:rsidRPr="00517CEA">
              <w:t xml:space="preserve">methods used to monitor the extraction process, such as inspecting, measuring and testing as required </w:t>
            </w:r>
            <w:r w:rsidRPr="00517CEA">
              <w:t>by the process, and the ability to calculate yields</w:t>
            </w:r>
          </w:p>
          <w:p w:rsidR="00000000" w:rsidRPr="00517CEA" w:rsidP="00517CEA">
            <w:pPr>
              <w:pStyle w:val="ListBullet"/>
            </w:pPr>
            <w:r w:rsidRPr="00517CEA">
              <w:t>contamination/food safety risks associated with the extraction process</w:t>
            </w:r>
          </w:p>
          <w:p w:rsidR="00000000" w:rsidRPr="00517CEA" w:rsidP="00517CEA">
            <w:pPr>
              <w:pStyle w:val="ListBullet"/>
            </w:pPr>
            <w:r w:rsidRPr="00517CEA">
              <w:t>common causes of variation and corrective action required</w:t>
            </w:r>
          </w:p>
          <w:p w:rsidR="00000000" w:rsidRPr="00517CEA" w:rsidP="00517CEA">
            <w:pPr>
              <w:pStyle w:val="ListBullet"/>
            </w:pPr>
            <w:r w:rsidRPr="00517CEA">
              <w:t>occupational health and safety (OHS) hazards and controls, including the ri</w:t>
            </w:r>
            <w:r w:rsidRPr="00517CEA">
              <w:t>sks involved with the use of solvents, such as ethanol, and the limitations of protective clothing and equipment used</w:t>
            </w:r>
          </w:p>
          <w:p w:rsidR="00000000" w:rsidRPr="00517CEA" w:rsidP="00517CEA">
            <w:pPr>
              <w:pStyle w:val="ListBullet"/>
            </w:pPr>
            <w:r w:rsidRPr="00517CEA">
              <w:t>extraction process shutdown and changeover procedures and responsibilities</w:t>
            </w:r>
          </w:p>
          <w:p w:rsidR="00000000" w:rsidRPr="00517CEA" w:rsidP="00517CEA">
            <w:pPr>
              <w:pStyle w:val="ListBullet"/>
            </w:pPr>
            <w:r w:rsidRPr="00517CEA">
              <w:t xml:space="preserve">environmental </w:t>
            </w:r>
            <w:r w:rsidRPr="00517CEA">
              <w:t>issues and controls relevant to the extraction process, including waste collection and handling procedures related to the process</w:t>
            </w:r>
          </w:p>
          <w:p w:rsidR="00000000" w:rsidRPr="00517CEA" w:rsidP="00517CEA">
            <w:pPr>
              <w:pStyle w:val="ListBullet"/>
            </w:pPr>
            <w:r w:rsidRPr="00517CEA">
              <w:t>cleaning and sanitation procedures</w:t>
            </w:r>
          </w:p>
          <w:p w:rsidR="00000000" w:rsidRPr="00517CEA" w:rsidP="00517CEA">
            <w:pPr>
              <w:pStyle w:val="ListBullet"/>
            </w:pPr>
            <w:r w:rsidRPr="00517CEA">
              <w:t>workplace documentation and authorisation procedures</w:t>
            </w:r>
          </w:p>
        </w:tc>
      </w:tr>
    </w:tbl>
    <w:p w:rsidR="00000000" w:rsidRPr="00517CEA" w:rsidP="00517CEA">
      <w:pPr>
        <w:pStyle w:val="BodyText"/>
      </w:pPr>
    </w:p>
    <w:p w:rsidR="00000000" w:rsidRPr="00517CEA" w:rsidP="00517CEA">
      <w:pPr>
        <w:pStyle w:val="AllowPageBreak"/>
      </w:pPr>
    </w:p>
    <w:p w:rsidR="00000000" w:rsidRPr="00517CEA" w:rsidP="00517CEA">
      <w:pPr>
        <w:pStyle w:val="Heading1"/>
      </w:pPr>
      <w:bookmarkStart w:id="10" w:name="O_75948"/>
      <w:bookmarkEnd w:id="10"/>
      <w:r w:rsidRPr="00517CEA">
        <w:t>Evidence Guide</w:t>
      </w:r>
    </w:p>
    <w:tbl>
      <w:tblPr>
        <w:tblW w:w="9570" w:type="dxa"/>
        <w:tblLayout w:type="fixed"/>
        <w:tblCellMar>
          <w:left w:w="62" w:type="dxa"/>
          <w:right w:w="62" w:type="dxa"/>
        </w:tblCellMar>
        <w:tblLook w:val="0000"/>
      </w:tblPr>
      <w:tblGrid>
        <w:gridCol w:w="3908"/>
        <w:gridCol w:w="5662"/>
      </w:tblGrid>
      <w:tr w:rsidTr="00452AF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CEA">
            <w:pPr>
              <w:pStyle w:val="BodyText"/>
              <w:rPr>
                <w:lang w:val="en-NZ"/>
              </w:rPr>
            </w:pPr>
            <w:r w:rsidRPr="00517CEA">
              <w:rPr>
                <w:rStyle w:val="SpecialBold"/>
              </w:rPr>
              <w:t>EVIDEN</w:t>
            </w:r>
            <w:r w:rsidRPr="00517CEA">
              <w:rPr>
                <w:rStyle w:val="SpecialBold"/>
              </w:rPr>
              <w:t>CE GUIDE</w:t>
            </w:r>
          </w:p>
        </w:tc>
      </w:tr>
      <w:tr w:rsidTr="00452AF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CEA">
            <w:pPr>
              <w:pStyle w:val="BodyText"/>
              <w:rPr>
                <w:lang w:val="en-NZ"/>
              </w:rPr>
            </w:pPr>
            <w:r w:rsidRPr="00517CEA">
              <w:t>The Evidence Guide provides advice on assessment and must be read in conjunction with the performance criteria, required skills and knowledge, range statement and the Assessment Guidelines for the Training Package.</w:t>
            </w:r>
          </w:p>
        </w:tc>
      </w:tr>
      <w:tr w:rsidTr="00452A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CEA">
            <w:pPr>
              <w:pStyle w:val="BodyText"/>
              <w:rPr>
                <w:lang w:val="en-NZ"/>
              </w:rPr>
            </w:pPr>
            <w:r w:rsidRPr="00517CE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CEA">
            <w:pPr>
              <w:pStyle w:val="BodyText"/>
              <w:rPr>
                <w:lang w:val="en-NZ"/>
              </w:rPr>
            </w:pPr>
            <w:r w:rsidRPr="00517CEA">
              <w:t>Assessment may occur in a real or simulated workplace context. Where a simulated environment is used, it should provide access to workplace documentation, and a typical range of extraction solvents, material and equipment.</w:t>
            </w:r>
          </w:p>
        </w:tc>
      </w:tr>
      <w:tr w:rsidTr="00452A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CEA">
            <w:pPr>
              <w:pStyle w:val="BodyText"/>
              <w:rPr>
                <w:lang w:val="en-NZ"/>
              </w:rPr>
            </w:pPr>
            <w:r w:rsidRPr="00517CEA">
              <w:rPr>
                <w:rStyle w:val="SpecialBold"/>
              </w:rPr>
              <w:t xml:space="preserve">Critical aspects for assessment </w:t>
            </w:r>
            <w:r w:rsidRPr="00517CEA">
              <w:rPr>
                <w:rStyle w:val="SpecialBold"/>
              </w:rPr>
              <w:t>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CEA" w:rsidP="00517CEA">
            <w:pPr>
              <w:pStyle w:val="BodyText"/>
            </w:pPr>
            <w:r w:rsidRPr="00517CEA">
              <w:t>Evidence of ability to:</w:t>
            </w:r>
          </w:p>
          <w:p w:rsidR="00000000" w:rsidRPr="00517CEA" w:rsidP="00517CEA">
            <w:pPr>
              <w:pStyle w:val="ListBullet"/>
            </w:pPr>
            <w:r w:rsidRPr="00517CEA">
              <w:t>prepare the extraction process for operation, including following line clearance procedures</w:t>
            </w:r>
          </w:p>
          <w:p w:rsidR="00000000" w:rsidRPr="00517CEA" w:rsidP="00517CEA">
            <w:pPr>
              <w:pStyle w:val="ListBullet"/>
            </w:pPr>
            <w:r w:rsidRPr="00517CEA">
              <w:t>load materials and solvents to maximise extract collection</w:t>
            </w:r>
          </w:p>
          <w:p w:rsidR="00000000" w:rsidRPr="00517CEA" w:rsidP="00517CEA">
            <w:pPr>
              <w:pStyle w:val="ListBullet"/>
            </w:pPr>
            <w:r w:rsidRPr="00517CEA">
              <w:t>monitor the extraction process</w:t>
            </w:r>
          </w:p>
          <w:p w:rsidR="00000000" w:rsidP="00517CEA">
            <w:pPr>
              <w:pStyle w:val="ListBullet"/>
              <w:rPr>
                <w:lang w:val="en-NZ"/>
              </w:rPr>
            </w:pPr>
            <w:r w:rsidRPr="00517CEA">
              <w:t>maintain all necessary records.</w:t>
            </w:r>
          </w:p>
        </w:tc>
      </w:tr>
      <w:tr w:rsidTr="00452A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CEA">
            <w:pPr>
              <w:pStyle w:val="BodyText"/>
              <w:rPr>
                <w:lang w:val="en-NZ"/>
              </w:rPr>
            </w:pPr>
            <w:r w:rsidRPr="00517CE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CEA" w:rsidP="00517CEA">
            <w:pPr>
              <w:pStyle w:val="BodyText"/>
            </w:pPr>
            <w:r w:rsidRPr="00517CEA">
              <w:t>Assessment must occur in a real or simulated workplace where the assessee has access to:</w:t>
            </w:r>
          </w:p>
          <w:p w:rsidR="00000000" w:rsidP="00517CEA">
            <w:pPr>
              <w:pStyle w:val="ListBullet"/>
              <w:rPr>
                <w:lang w:val="en-NZ"/>
              </w:rPr>
            </w:pPr>
            <w:r w:rsidRPr="00517CEA">
              <w:t>workplace documentation relating to concentration pro</w:t>
            </w:r>
            <w:r w:rsidRPr="00517CEA">
              <w:t>cess and procedures.</w:t>
            </w:r>
          </w:p>
        </w:tc>
      </w:tr>
      <w:tr w:rsidTr="00452A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CEA">
            <w:pPr>
              <w:pStyle w:val="BodyText"/>
              <w:rPr>
                <w:lang w:val="en-NZ"/>
              </w:rPr>
            </w:pPr>
            <w:r w:rsidRPr="00517CE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CEA" w:rsidP="00517CEA">
            <w:pPr>
              <w:pStyle w:val="BodyText"/>
            </w:pPr>
            <w:r w:rsidRPr="00517CEA">
              <w:t>Assessors must be satisfied that the person can consistently perform the unit as a whole, including all elements, performance criteria, and required skills and knowledge. A holistic approach should be taken to the</w:t>
            </w:r>
            <w:r w:rsidRPr="00517CEA">
              <w:t xml:space="preserve"> assessment.</w:t>
            </w:r>
          </w:p>
          <w:p w:rsidR="00000000" w:rsidP="00517CEA">
            <w:pPr>
              <w:pStyle w:val="BodyText"/>
              <w:rPr>
                <w:lang w:val="en-NZ"/>
              </w:rPr>
            </w:pPr>
            <w:r w:rsidRPr="00517CEA">
              <w:t>Assessment of this unit would typically involve observation of the operator preparing, operating and shutting down the extraction process to meet production requirements. Observation should be sufficient to confirm consistent performance.</w:t>
            </w:r>
          </w:p>
        </w:tc>
      </w:tr>
      <w:tr w:rsidTr="00452A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CEA">
            <w:pPr>
              <w:pStyle w:val="BodyText"/>
              <w:rPr>
                <w:lang w:val="en-NZ"/>
              </w:rPr>
            </w:pPr>
            <w:r w:rsidRPr="00517CEA">
              <w:rPr>
                <w:rStyle w:val="SpecialBold"/>
              </w:rPr>
              <w:t>Gui</w:t>
            </w:r>
            <w:r w:rsidRPr="00517CEA">
              <w:rPr>
                <w:rStyle w:val="SpecialBold"/>
              </w:rPr>
              <w:t>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CEA" w:rsidP="00517CEA">
            <w:pPr>
              <w:pStyle w:val="BodyText"/>
            </w:pPr>
            <w:r w:rsidRPr="00517CEA">
              <w:t>To ensure consistency in one's performance, competency should be demonstrated on more than one occasion over a period of time in order to cover a variety of circumstances, cases and responsibilities, and where possible, ove</w:t>
            </w:r>
            <w:r w:rsidRPr="00517CEA">
              <w:t>r a number of assessment activities.</w:t>
            </w:r>
          </w:p>
        </w:tc>
      </w:tr>
    </w:tbl>
    <w:p w:rsidR="00000000" w:rsidRPr="00517CEA" w:rsidP="00517CEA">
      <w:pPr>
        <w:pStyle w:val="BodyText"/>
      </w:pPr>
    </w:p>
    <w:p w:rsidR="00000000" w:rsidRPr="00517CEA" w:rsidP="00517CEA">
      <w:pPr>
        <w:pStyle w:val="AllowPageBreak"/>
      </w:pPr>
    </w:p>
    <w:p w:rsidR="00000000" w:rsidRPr="00517CEA" w:rsidP="00517CEA">
      <w:pPr>
        <w:pStyle w:val="Heading1"/>
      </w:pPr>
      <w:bookmarkStart w:id="11" w:name="O_75949"/>
      <w:bookmarkEnd w:id="11"/>
      <w:r w:rsidRPr="00517CEA">
        <w:t>Range Statement</w:t>
      </w:r>
    </w:p>
    <w:tbl>
      <w:tblPr>
        <w:tblW w:w="0" w:type="auto"/>
        <w:tblLayout w:type="fixed"/>
        <w:tblCellMar>
          <w:left w:w="62" w:type="dxa"/>
          <w:right w:w="62" w:type="dxa"/>
        </w:tblCellMar>
        <w:tblLook w:val="0000"/>
      </w:tblPr>
      <w:tblGrid>
        <w:gridCol w:w="3516"/>
        <w:gridCol w:w="5006"/>
      </w:tblGrid>
      <w:tr w:rsidTr="00452AF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CEA">
            <w:pPr>
              <w:pStyle w:val="BodyText"/>
              <w:rPr>
                <w:lang w:val="en-NZ"/>
              </w:rPr>
            </w:pPr>
            <w:r w:rsidRPr="00517CEA">
              <w:rPr>
                <w:rStyle w:val="SpecialBold"/>
              </w:rPr>
              <w:t>RANGE STATEMENT</w:t>
            </w:r>
          </w:p>
        </w:tc>
      </w:tr>
      <w:tr w:rsidTr="00452A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CEA">
            <w:pPr>
              <w:pStyle w:val="BodyText"/>
              <w:rPr>
                <w:lang w:val="en-NZ"/>
              </w:rPr>
            </w:pPr>
            <w:r w:rsidRPr="00517CEA">
              <w:t>The range statement relates to the unit of competency as a whole. It allows for different work environments and situations that may affect performance. Bo</w:t>
            </w:r>
            <w:r w:rsidRPr="00517CEA">
              <w:t>ld italicised wording, if used in the performance criteria, is detailed below. Essential operating conditions that may be present with training and assessment (depending on the work situation, needs of the candidate, accessibility of the item, and local in</w:t>
            </w:r>
            <w:r w:rsidRPr="00517CEA">
              <w:t>dustry and regional contexts) may also be included.</w:t>
            </w:r>
          </w:p>
        </w:tc>
      </w:tr>
      <w:tr w:rsidTr="00452AF9">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CEA">
            <w:pPr>
              <w:pStyle w:val="BodyText"/>
              <w:rPr>
                <w:lang w:val="en-NZ"/>
              </w:rPr>
            </w:pPr>
            <w:r w:rsidRPr="00517CEA">
              <w:rPr>
                <w:rStyle w:val="SpecialBold"/>
              </w:rPr>
              <w:t>Policies and procedures</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CEA">
            <w:pPr>
              <w:pStyle w:val="BodyText"/>
              <w:rPr>
                <w:lang w:val="en-NZ"/>
              </w:rPr>
            </w:pPr>
            <w:r w:rsidRPr="00517CEA">
              <w:t>Work activities are carried out according to company policies and procedures, regulatory and licensing requirements, legislative requirements and industrial awards and agreements</w:t>
            </w:r>
          </w:p>
        </w:tc>
      </w:tr>
      <w:tr w:rsidTr="00452AF9">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CEA">
            <w:pPr>
              <w:pStyle w:val="BodyText"/>
              <w:rPr>
                <w:lang w:val="en-NZ"/>
              </w:rPr>
            </w:pPr>
            <w:r w:rsidRPr="00517CEA">
              <w:rPr>
                <w:rStyle w:val="SpecialBold"/>
              </w:rPr>
              <w:t>Legislative requirements</w:t>
            </w:r>
            <w:r w:rsidRPr="00517CEA">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CEA" w:rsidP="00517CEA">
            <w:pPr>
              <w:pStyle w:val="BodyText"/>
            </w:pPr>
            <w:r w:rsidRPr="00517CEA">
              <w:t>Legislative requirements are typically reflected in procedures and specifications. Legislation relevant to this industry includes:</w:t>
            </w:r>
          </w:p>
          <w:p w:rsidR="00000000" w:rsidRPr="00517CEA" w:rsidP="00517CEA">
            <w:pPr>
              <w:pStyle w:val="ListBullet"/>
            </w:pPr>
            <w:r w:rsidRPr="00517CEA">
              <w:t>legislative and licensing requirements</w:t>
            </w:r>
          </w:p>
          <w:p w:rsidR="00000000" w:rsidRPr="00517CEA" w:rsidP="00517CEA">
            <w:pPr>
              <w:pStyle w:val="ListBullet"/>
            </w:pPr>
            <w:r w:rsidRPr="00517CEA">
              <w:t>Therapeutic Goods Act</w:t>
            </w:r>
          </w:p>
          <w:p w:rsidR="00000000" w:rsidRPr="00517CEA" w:rsidP="00517CEA">
            <w:pPr>
              <w:pStyle w:val="ListBullet"/>
            </w:pPr>
            <w:r w:rsidRPr="00517CEA">
              <w:t>weights and measures legislation</w:t>
            </w:r>
          </w:p>
          <w:p w:rsidR="00000000" w:rsidP="00517CEA">
            <w:pPr>
              <w:pStyle w:val="ListBullet"/>
              <w:rPr>
                <w:lang w:val="en-NZ"/>
              </w:rPr>
            </w:pPr>
            <w:r w:rsidRPr="00517CEA">
              <w:t>legislation relating to OHS, environmental management, equal opportunity and affirmative action, industrial awards and agreements</w:t>
            </w:r>
          </w:p>
        </w:tc>
      </w:tr>
      <w:tr w:rsidTr="00452AF9">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CEA">
            <w:pPr>
              <w:pStyle w:val="BodyText"/>
              <w:rPr>
                <w:lang w:val="en-NZ"/>
              </w:rPr>
            </w:pPr>
            <w:r w:rsidRPr="00517CEA">
              <w:rPr>
                <w:rStyle w:val="SpecialBold"/>
              </w:rPr>
              <w:t>Workplace documentation</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CEA" w:rsidP="00517CEA">
            <w:pPr>
              <w:pStyle w:val="BodyText"/>
            </w:pPr>
            <w:r w:rsidRPr="00517CEA">
              <w:t>Workplace documentation relevant to work area activities include:</w:t>
            </w:r>
          </w:p>
          <w:p w:rsidR="00000000" w:rsidRPr="00517CEA" w:rsidP="00517CEA">
            <w:pPr>
              <w:pStyle w:val="ListBullet"/>
            </w:pPr>
            <w:r w:rsidRPr="00517CEA">
              <w:t>specifications</w:t>
            </w:r>
          </w:p>
          <w:p w:rsidR="00000000" w:rsidRPr="00517CEA" w:rsidP="00517CEA">
            <w:pPr>
              <w:pStyle w:val="ListBullet"/>
            </w:pPr>
            <w:r w:rsidRPr="00517CEA">
              <w:t xml:space="preserve">manufacturing formulae </w:t>
            </w:r>
          </w:p>
          <w:p w:rsidR="00000000" w:rsidRPr="00517CEA" w:rsidP="00517CEA">
            <w:pPr>
              <w:pStyle w:val="ListBullet"/>
            </w:pPr>
            <w:r w:rsidRPr="00517CEA">
              <w:t>processing instructions</w:t>
            </w:r>
          </w:p>
          <w:p w:rsidR="00000000" w:rsidRPr="00517CEA" w:rsidP="00517CEA">
            <w:pPr>
              <w:pStyle w:val="ListBullet"/>
            </w:pPr>
            <w:r w:rsidRPr="00517CEA">
              <w:t xml:space="preserve">batch production records </w:t>
            </w:r>
          </w:p>
          <w:p w:rsidR="00000000" w:rsidRPr="00517CEA" w:rsidP="00517CEA">
            <w:pPr>
              <w:pStyle w:val="ListBullet"/>
            </w:pPr>
            <w:r w:rsidRPr="00517CEA">
              <w:t>standard operating procedures (SOPs)</w:t>
            </w:r>
          </w:p>
          <w:p w:rsidR="00000000" w:rsidP="00517CEA">
            <w:pPr>
              <w:pStyle w:val="ListBullet"/>
              <w:rPr>
                <w:lang w:val="en-NZ"/>
              </w:rPr>
            </w:pPr>
            <w:r w:rsidRPr="00517CEA">
              <w:t>OHS information, including material safety data sheets (MSDS)</w:t>
            </w:r>
          </w:p>
        </w:tc>
      </w:tr>
      <w:tr w:rsidTr="00452AF9">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CEA">
            <w:pPr>
              <w:pStyle w:val="BodyText"/>
              <w:rPr>
                <w:lang w:val="en-NZ"/>
              </w:rPr>
            </w:pPr>
            <w:r w:rsidRPr="00517CEA">
              <w:rPr>
                <w:rStyle w:val="SpecialBold"/>
              </w:rPr>
              <w:t>Equipment</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CEA" w:rsidP="00517CEA">
            <w:pPr>
              <w:pStyle w:val="BodyText"/>
            </w:pPr>
            <w:r w:rsidRPr="00517CEA">
              <w:t>Equipment may include:</w:t>
            </w:r>
          </w:p>
          <w:p w:rsidR="00000000" w:rsidRPr="00517CEA" w:rsidP="00517CEA">
            <w:pPr>
              <w:pStyle w:val="ListBullet"/>
            </w:pPr>
            <w:r w:rsidRPr="00517CEA">
              <w:t>blenders/mixers</w:t>
            </w:r>
          </w:p>
          <w:p w:rsidR="00000000" w:rsidRPr="00517CEA" w:rsidP="00517CEA">
            <w:pPr>
              <w:pStyle w:val="ListBullet"/>
            </w:pPr>
            <w:r w:rsidRPr="00517CEA">
              <w:t>percolators</w:t>
            </w:r>
          </w:p>
          <w:p w:rsidR="00000000" w:rsidRPr="00517CEA" w:rsidP="00517CEA">
            <w:pPr>
              <w:pStyle w:val="ListBullet"/>
            </w:pPr>
            <w:r w:rsidRPr="00517CEA">
              <w:t>tamping rods</w:t>
            </w:r>
          </w:p>
          <w:p w:rsidR="00000000" w:rsidP="00517CEA">
            <w:pPr>
              <w:pStyle w:val="ListBullet"/>
              <w:rPr>
                <w:lang w:val="en-NZ"/>
              </w:rPr>
            </w:pPr>
            <w:r w:rsidRPr="00517CEA">
              <w:t>collection vessels</w:t>
            </w:r>
          </w:p>
        </w:tc>
      </w:tr>
      <w:tr w:rsidTr="00452AF9">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CEA">
            <w:pPr>
              <w:pStyle w:val="BodyText"/>
              <w:rPr>
                <w:lang w:val="en-NZ"/>
              </w:rPr>
            </w:pPr>
            <w:r w:rsidRPr="00517CEA">
              <w:rPr>
                <w:rStyle w:val="SpecialBold"/>
              </w:rPr>
              <w:t>Extraction process</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CEA" w:rsidP="00517CEA">
            <w:pPr>
              <w:pStyle w:val="BodyText"/>
            </w:pPr>
            <w:r w:rsidRPr="00517CEA">
              <w:t>Solvents used in the extraction process may be:</w:t>
            </w:r>
          </w:p>
          <w:p w:rsidR="00000000" w:rsidRPr="00517CEA" w:rsidP="00517CEA">
            <w:pPr>
              <w:pStyle w:val="ListBullet"/>
            </w:pPr>
            <w:r w:rsidRPr="00517CEA">
              <w:t>aqueous and/or alcohol based (temperature may or may not be applied during extraction process)</w:t>
            </w:r>
          </w:p>
        </w:tc>
      </w:tr>
    </w:tbl>
    <w:p w:rsidR="00452AF9" w:rsidP="00517CEA">
      <w:pPr>
        <w:pStyle w:val="BodyText"/>
      </w:pPr>
    </w:p>
    <w:p w:rsidR="00452AF9" w:rsidP="00517CEA">
      <w:pPr>
        <w:pStyle w:val="BodyText"/>
      </w:pPr>
    </w:p>
    <w:p w:rsidR="00000000" w:rsidRPr="00517CEA" w:rsidP="00517CEA">
      <w:pPr>
        <w:pStyle w:val="Heading1"/>
      </w:pPr>
      <w:bookmarkStart w:id="12" w:name="O_75950"/>
      <w:bookmarkEnd w:id="12"/>
      <w:r w:rsidRPr="00517CEA">
        <w:t>Unit Sector(s)</w:t>
      </w:r>
    </w:p>
    <w:tbl>
      <w:tblPr>
        <w:tblW w:w="0" w:type="auto"/>
        <w:tblLayout w:type="fixed"/>
        <w:tblCellMar>
          <w:left w:w="62" w:type="dxa"/>
          <w:right w:w="62" w:type="dxa"/>
        </w:tblCellMar>
        <w:tblLook w:val="0000"/>
      </w:tblPr>
      <w:tblGrid>
        <w:gridCol w:w="2592"/>
        <w:gridCol w:w="5930"/>
      </w:tblGrid>
      <w:tr w:rsidTr="00452AF9">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CEA">
            <w:pPr>
              <w:pStyle w:val="BodyText"/>
              <w:rPr>
                <w:lang w:val="en-NZ"/>
              </w:rPr>
            </w:pPr>
            <w:r w:rsidRPr="00517CEA">
              <w:rPr>
                <w:rStyle w:val="SpecialBold"/>
              </w:rPr>
              <w:t>Unit sector</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CEA" w:rsidP="00517CEA">
            <w:pPr>
              <w:pStyle w:val="BodyText"/>
            </w:pPr>
            <w:r w:rsidRPr="00517CEA">
              <w:t>Pharmaceutical manufacturing</w:t>
            </w:r>
          </w:p>
        </w:tc>
      </w:tr>
    </w:tbl>
    <w:p w:rsidR="00000000" w:rsidRPr="00517CEA" w:rsidP="00517CEA">
      <w:pPr>
        <w:pStyle w:val="BodyText"/>
      </w:pPr>
    </w:p>
    <w:p w:rsidR="00000000" w:rsidRPr="00517CEA" w:rsidP="00517CEA">
      <w:pPr>
        <w:pStyle w:val="AllowPageBreak"/>
      </w:pPr>
    </w:p>
    <w:p w:rsidR="00000000" w:rsidRPr="00517CEA" w:rsidP="00517CEA">
      <w:pPr>
        <w:pStyle w:val="Heading1"/>
      </w:pPr>
      <w:bookmarkStart w:id="13" w:name="O_155899"/>
      <w:bookmarkEnd w:id="13"/>
      <w:r w:rsidRPr="00517CEA">
        <w:t>Competency field</w:t>
      </w:r>
    </w:p>
    <w:tbl>
      <w:tblPr>
        <w:tblW w:w="0" w:type="auto"/>
        <w:tblLayout w:type="fixed"/>
        <w:tblCellMar>
          <w:left w:w="62" w:type="dxa"/>
          <w:right w:w="62" w:type="dxa"/>
        </w:tblCellMar>
        <w:tblLook w:val="0000"/>
      </w:tblPr>
      <w:tblGrid>
        <w:gridCol w:w="2784"/>
        <w:gridCol w:w="5738"/>
      </w:tblGrid>
      <w:tr w:rsidTr="00452AF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CEA">
            <w:pPr>
              <w:pStyle w:val="BodyText"/>
              <w:rPr>
                <w:lang w:val="en-NZ"/>
              </w:rPr>
            </w:pPr>
            <w:r w:rsidRPr="00517CE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CEA" w:rsidP="00517CEA">
            <w:pPr>
              <w:pStyle w:val="BodyText"/>
            </w:pPr>
          </w:p>
        </w:tc>
      </w:tr>
    </w:tbl>
    <w:p w:rsidR="00000000" w:rsidRPr="00517CEA" w:rsidP="00517CEA">
      <w:pPr>
        <w:pStyle w:val="BodyText"/>
      </w:pPr>
    </w:p>
    <w:p w:rsidR="00000000" w:rsidRPr="00517CEA" w:rsidP="00517CEA">
      <w:pPr>
        <w:pStyle w:val="AllowPageBreak"/>
      </w:pPr>
    </w:p>
    <w:p w:rsidR="00000000" w:rsidRPr="00517CEA" w:rsidP="00517CEA">
      <w:pPr>
        <w:pStyle w:val="Heading1"/>
      </w:pPr>
      <w:bookmarkStart w:id="14" w:name="O_155898"/>
      <w:bookmarkEnd w:id="14"/>
      <w:r w:rsidRPr="00517CEA">
        <w:t>Co-requisite units</w:t>
      </w:r>
    </w:p>
    <w:tbl>
      <w:tblPr>
        <w:tblW w:w="0" w:type="auto"/>
        <w:tblLayout w:type="fixed"/>
        <w:tblCellMar>
          <w:left w:w="62" w:type="dxa"/>
          <w:right w:w="62" w:type="dxa"/>
        </w:tblCellMar>
        <w:tblLook w:val="0000"/>
      </w:tblPr>
      <w:tblGrid>
        <w:gridCol w:w="2641"/>
        <w:gridCol w:w="1322"/>
        <w:gridCol w:w="4559"/>
      </w:tblGrid>
      <w:tr w:rsidTr="00452AF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CEA">
            <w:pPr>
              <w:pStyle w:val="BodyText"/>
              <w:rPr>
                <w:lang w:val="en-NZ"/>
              </w:rPr>
            </w:pPr>
            <w:r w:rsidRPr="00517CE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CEA">
            <w:pPr>
              <w:pStyle w:val="BodyText"/>
              <w:rPr>
                <w:lang w:val="en-NZ"/>
              </w:rPr>
            </w:pPr>
          </w:p>
        </w:tc>
      </w:tr>
      <w:tr w:rsidTr="00452AF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CEA">
            <w:pPr>
              <w:pStyle w:val="BodyText"/>
              <w:rPr>
                <w:lang w:val="en-NZ"/>
              </w:rPr>
            </w:pPr>
          </w:p>
        </w:tc>
      </w:tr>
      <w:tr w:rsidTr="00452AF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CEA" w:rsidP="00517CEA">
            <w:pPr>
              <w:pStyle w:val="BodyText"/>
            </w:pPr>
          </w:p>
        </w:tc>
      </w:tr>
    </w:tbl>
    <w:p w:rsidR="00000000" w:rsidRPr="00517CEA" w:rsidP="00517CEA">
      <w:pPr>
        <w:pStyle w:val="BodyText"/>
      </w:pPr>
    </w:p>
    <w:p w:rsidR="00000000" w:rsidRPr="00517CEA" w:rsidP="00517CEA"/>
    <w:sectPr w:rsidSect="00517C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C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2AF9" w:rsidP="00452A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C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AF9" w:rsidP="00517C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52AF9" w:rsidP="00517C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52AF9" w:rsidP="00517C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C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2AF9" w:rsidP="00452A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C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AF9" w:rsidP="00517CEA">
    <w:pPr>
      <w:pStyle w:val="Header"/>
      <w:framePr w:wrap="around"/>
    </w:pPr>
    <w:r>
      <w:fldChar w:fldCharType="begin"/>
    </w:r>
    <w:r>
      <w:instrText xml:space="preserve"> TITLE   \* MERGEFORMAT </w:instrText>
    </w:r>
    <w:r>
      <w:fldChar w:fldCharType="separate"/>
    </w:r>
    <w:r>
      <w:t>FDFPH2003A Operate an extraction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52AF9" w:rsidP="00517C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E2A4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1C86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7445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C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7CEA"/>
    <w:pPr>
      <w:spacing w:before="360" w:after="60"/>
      <w:outlineLvl w:val="0"/>
    </w:pPr>
    <w:rPr>
      <w:sz w:val="32"/>
    </w:rPr>
  </w:style>
  <w:style w:type="paragraph" w:styleId="Heading2">
    <w:name w:val="heading 2"/>
    <w:basedOn w:val="HeadingBase"/>
    <w:next w:val="BodyText"/>
    <w:link w:val="Heading2Char"/>
    <w:qFormat/>
    <w:rsid w:val="00517CEA"/>
    <w:pPr>
      <w:keepLines/>
      <w:spacing w:before="240" w:after="120"/>
      <w:outlineLvl w:val="1"/>
    </w:pPr>
    <w:rPr>
      <w:sz w:val="28"/>
      <w:szCs w:val="40"/>
    </w:rPr>
  </w:style>
  <w:style w:type="paragraph" w:styleId="Heading3">
    <w:name w:val="heading 3"/>
    <w:basedOn w:val="HeadingBase"/>
    <w:next w:val="BodyText"/>
    <w:link w:val="Heading3Char"/>
    <w:qFormat/>
    <w:rsid w:val="00517CEA"/>
    <w:pPr>
      <w:spacing w:before="180" w:after="120"/>
      <w:outlineLvl w:val="2"/>
    </w:pPr>
    <w:rPr>
      <w:spacing w:val="-10"/>
      <w:kern w:val="32"/>
    </w:rPr>
  </w:style>
  <w:style w:type="paragraph" w:styleId="Heading4">
    <w:name w:val="heading 4"/>
    <w:basedOn w:val="HeadingBase"/>
    <w:next w:val="BodyText"/>
    <w:link w:val="Heading4Char"/>
    <w:qFormat/>
    <w:rsid w:val="00517CEA"/>
    <w:pPr>
      <w:spacing w:before="160" w:after="120"/>
      <w:outlineLvl w:val="3"/>
    </w:pPr>
    <w:rPr>
      <w:sz w:val="22"/>
    </w:rPr>
  </w:style>
  <w:style w:type="paragraph" w:styleId="Heading5">
    <w:name w:val="heading 5"/>
    <w:basedOn w:val="HeadingBase"/>
    <w:next w:val="Normal"/>
    <w:link w:val="Heading5Char"/>
    <w:qFormat/>
    <w:rsid w:val="00517CEA"/>
    <w:pPr>
      <w:spacing w:before="80"/>
      <w:outlineLvl w:val="4"/>
    </w:pPr>
    <w:rPr>
      <w:color w:val="918585"/>
      <w:sz w:val="20"/>
    </w:rPr>
  </w:style>
  <w:style w:type="paragraph" w:styleId="Heading6">
    <w:name w:val="heading 6"/>
    <w:basedOn w:val="HeadingBase"/>
    <w:next w:val="Normal"/>
    <w:link w:val="Heading6Char"/>
    <w:qFormat/>
    <w:rsid w:val="00517CEA"/>
    <w:pPr>
      <w:spacing w:before="60"/>
      <w:outlineLvl w:val="5"/>
    </w:pPr>
    <w:rPr>
      <w:color w:val="918585"/>
      <w:sz w:val="20"/>
    </w:rPr>
  </w:style>
  <w:style w:type="paragraph" w:styleId="Heading7">
    <w:name w:val="heading 7"/>
    <w:basedOn w:val="Normal"/>
    <w:next w:val="Normal"/>
    <w:link w:val="Heading7Char"/>
    <w:qFormat/>
    <w:rsid w:val="00517CEA"/>
    <w:pPr>
      <w:ind w:left="720"/>
      <w:outlineLvl w:val="6"/>
    </w:pPr>
    <w:rPr>
      <w:i/>
    </w:rPr>
  </w:style>
  <w:style w:type="paragraph" w:styleId="Heading8">
    <w:name w:val="heading 8"/>
    <w:basedOn w:val="Normal"/>
    <w:next w:val="Normal"/>
    <w:link w:val="Heading8Char"/>
    <w:qFormat/>
    <w:rsid w:val="00517CEA"/>
    <w:pPr>
      <w:ind w:left="720"/>
      <w:outlineLvl w:val="7"/>
    </w:pPr>
    <w:rPr>
      <w:i/>
    </w:rPr>
  </w:style>
  <w:style w:type="paragraph" w:styleId="Heading9">
    <w:name w:val="heading 9"/>
    <w:basedOn w:val="Normal"/>
    <w:next w:val="Normal"/>
    <w:link w:val="Heading9Char"/>
    <w:qFormat/>
    <w:rsid w:val="00517CEA"/>
    <w:pPr>
      <w:ind w:left="720"/>
      <w:outlineLvl w:val="8"/>
    </w:pPr>
    <w:rPr>
      <w:i/>
    </w:rPr>
  </w:style>
  <w:style w:type="character" w:default="1" w:styleId="DefaultParagraphFont">
    <w:name w:val="Default Paragraph Font"/>
    <w:uiPriority w:val="1"/>
    <w:unhideWhenUsed/>
    <w:rsid w:val="00517C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7CEA"/>
  </w:style>
  <w:style w:type="character" w:customStyle="1" w:styleId="Heading1Char">
    <w:name w:val="Heading 1 Char"/>
    <w:basedOn w:val="DefaultParagraphFont"/>
    <w:link w:val="Heading1"/>
    <w:rsid w:val="00517CEA"/>
    <w:rPr>
      <w:rFonts w:ascii="Times New Roman" w:eastAsia="Times New Roman" w:hAnsi="Times New Roman" w:cs="Times New Roman"/>
      <w:b/>
      <w:sz w:val="32"/>
      <w:szCs w:val="20"/>
      <w:lang w:eastAsia="en-US"/>
    </w:rPr>
  </w:style>
  <w:style w:type="paragraph" w:styleId="BodyText">
    <w:name w:val="Body Text"/>
    <w:basedOn w:val="Normal"/>
    <w:link w:val="BodyTextChar"/>
    <w:rsid w:val="00517C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7CEA"/>
    <w:rPr>
      <w:rFonts w:ascii="Times New Roman" w:eastAsia="Times New Roman" w:hAnsi="Times New Roman" w:cs="Times New Roman"/>
      <w:sz w:val="24"/>
      <w:lang w:val="en-US" w:eastAsia="en-US"/>
    </w:rPr>
  </w:style>
  <w:style w:type="paragraph" w:styleId="Footer">
    <w:name w:val="footer"/>
    <w:basedOn w:val="Normal"/>
    <w:link w:val="FooterChar"/>
    <w:rsid w:val="00517C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7CEA"/>
    <w:rPr>
      <w:rFonts w:ascii="Times New Roman" w:eastAsia="Times New Roman" w:hAnsi="Times New Roman" w:cs="Times New Roman"/>
      <w:sz w:val="16"/>
      <w:lang w:val="en-US" w:eastAsia="en-US"/>
    </w:rPr>
  </w:style>
  <w:style w:type="paragraph" w:styleId="List">
    <w:name w:val="List"/>
    <w:basedOn w:val="BodyText"/>
    <w:next w:val="BodyText"/>
    <w:rsid w:val="00517CEA"/>
    <w:pPr>
      <w:tabs>
        <w:tab w:val="left" w:pos="340"/>
      </w:tabs>
      <w:spacing w:before="60" w:after="60"/>
      <w:ind w:left="340" w:hanging="340"/>
    </w:pPr>
  </w:style>
  <w:style w:type="paragraph" w:styleId="ListBullet">
    <w:name w:val="List Bullet"/>
    <w:basedOn w:val="List"/>
    <w:rsid w:val="00517CEA"/>
    <w:pPr>
      <w:numPr>
        <w:numId w:val="13"/>
      </w:numPr>
      <w:tabs>
        <w:tab w:val="clear" w:pos="340"/>
      </w:tabs>
      <w:spacing w:before="40" w:after="40"/>
    </w:pPr>
  </w:style>
  <w:style w:type="character" w:customStyle="1" w:styleId="SpecialBold">
    <w:name w:val="Special Bold"/>
    <w:basedOn w:val="DefaultParagraphFont"/>
    <w:rsid w:val="00517CEA"/>
    <w:rPr>
      <w:b/>
      <w:spacing w:val="0"/>
    </w:rPr>
  </w:style>
  <w:style w:type="paragraph" w:styleId="ListBullet2">
    <w:name w:val="List Bullet 2"/>
    <w:basedOn w:val="List2"/>
    <w:rsid w:val="00517CEA"/>
    <w:pPr>
      <w:numPr>
        <w:numId w:val="14"/>
      </w:numPr>
      <w:tabs>
        <w:tab w:val="clear" w:pos="680"/>
      </w:tabs>
    </w:pPr>
  </w:style>
  <w:style w:type="paragraph" w:styleId="Header">
    <w:name w:val="header"/>
    <w:basedOn w:val="Normal"/>
    <w:link w:val="HeaderChar"/>
    <w:rsid w:val="00517C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7C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7CEA"/>
    <w:pPr>
      <w:spacing w:before="240" w:after="120"/>
      <w:outlineLvl w:val="0"/>
    </w:pPr>
    <w:rPr>
      <w:rFonts w:ascii="Times New Roman" w:hAnsi="Times New Roman"/>
      <w:b/>
      <w:sz w:val="28"/>
    </w:rPr>
  </w:style>
  <w:style w:type="paragraph" w:customStyle="1" w:styleId="AllowPageBreak">
    <w:name w:val="AllowPageBreak"/>
    <w:rsid w:val="00517CE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17CEA"/>
    <w:pPr>
      <w:tabs>
        <w:tab w:val="left" w:pos="680"/>
      </w:tabs>
      <w:spacing w:before="60" w:after="60"/>
      <w:ind w:left="680" w:hanging="340"/>
    </w:pPr>
  </w:style>
  <w:style w:type="character" w:customStyle="1" w:styleId="BoldandItalics">
    <w:name w:val="Bold and Italics"/>
    <w:qFormat/>
    <w:rsid w:val="00517CEA"/>
    <w:rPr>
      <w:b/>
      <w:i/>
      <w:u w:val="none"/>
    </w:rPr>
  </w:style>
  <w:style w:type="character" w:customStyle="1" w:styleId="Heading2Char">
    <w:name w:val="Heading 2 Char"/>
    <w:basedOn w:val="DefaultParagraphFont"/>
    <w:link w:val="Heading2"/>
    <w:rsid w:val="00517C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7C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7C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7C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7C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7C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7C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7CEA"/>
    <w:rPr>
      <w:rFonts w:ascii="Courier New" w:eastAsia="Times New Roman" w:hAnsi="Courier New" w:cs="Times New Roman"/>
      <w:i/>
      <w:szCs w:val="20"/>
      <w:lang w:val="en-US" w:eastAsia="en-US"/>
    </w:rPr>
  </w:style>
  <w:style w:type="paragraph" w:customStyle="1" w:styleId="HeadingBase">
    <w:name w:val="Heading Base"/>
    <w:rsid w:val="00517C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7CEA"/>
    <w:pPr>
      <w:tabs>
        <w:tab w:val="right" w:leader="dot" w:pos="9072"/>
      </w:tabs>
      <w:ind w:left="567"/>
    </w:pPr>
    <w:rPr>
      <w:szCs w:val="22"/>
    </w:rPr>
  </w:style>
  <w:style w:type="paragraph" w:customStyle="1" w:styleId="TOCBase">
    <w:name w:val="TOC Base"/>
    <w:rsid w:val="00517C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7CEA"/>
    <w:pPr>
      <w:tabs>
        <w:tab w:val="right" w:leader="dot" w:pos="9072"/>
      </w:tabs>
      <w:spacing w:before="40" w:after="40"/>
      <w:ind w:left="284"/>
    </w:pPr>
    <w:rPr>
      <w:rFonts w:ascii="Times New Roman" w:hAnsi="Times New Roman"/>
    </w:rPr>
  </w:style>
  <w:style w:type="paragraph" w:styleId="TOC1">
    <w:name w:val="toc 1"/>
    <w:basedOn w:val="TOCBase"/>
    <w:next w:val="Normal"/>
    <w:rsid w:val="00517C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7CEA"/>
    <w:pPr>
      <w:spacing w:before="5040"/>
      <w:jc w:val="center"/>
    </w:pPr>
    <w:rPr>
      <w:sz w:val="48"/>
      <w:szCs w:val="72"/>
      <w:lang w:val="en-US"/>
    </w:rPr>
  </w:style>
  <w:style w:type="character" w:customStyle="1" w:styleId="TitleChar">
    <w:name w:val="Title Char"/>
    <w:basedOn w:val="DefaultParagraphFont"/>
    <w:link w:val="Title"/>
    <w:rsid w:val="00517C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7CEA"/>
    <w:pPr>
      <w:tabs>
        <w:tab w:val="left" w:pos="3600"/>
        <w:tab w:val="left" w:pos="3958"/>
      </w:tabs>
    </w:pPr>
  </w:style>
  <w:style w:type="paragraph" w:customStyle="1" w:styleId="Note">
    <w:name w:val="Note"/>
    <w:basedOn w:val="BodyText"/>
    <w:rsid w:val="00517C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7CEA"/>
    <w:pPr>
      <w:framePr w:wrap="auto" w:hAnchor="text" w:y="6049"/>
    </w:pPr>
    <w:rPr>
      <w:color w:val="000000"/>
      <w:sz w:val="40"/>
    </w:rPr>
  </w:style>
  <w:style w:type="paragraph" w:customStyle="1" w:styleId="TOCTitle">
    <w:name w:val="TOCTitle"/>
    <w:basedOn w:val="Heading1"/>
    <w:rsid w:val="00517CEA"/>
    <w:pPr>
      <w:spacing w:after="240"/>
      <w:jc w:val="center"/>
      <w:outlineLvl w:val="9"/>
    </w:pPr>
    <w:rPr>
      <w:caps/>
    </w:rPr>
  </w:style>
  <w:style w:type="paragraph" w:customStyle="1" w:styleId="Version">
    <w:name w:val="Version"/>
    <w:rsid w:val="00517C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7CEA"/>
    <w:pPr>
      <w:keepNext w:val="0"/>
      <w:tabs>
        <w:tab w:val="right" w:pos="4176"/>
      </w:tabs>
      <w:ind w:left="198" w:hanging="198"/>
    </w:pPr>
    <w:rPr>
      <w:rFonts w:ascii="Garamond" w:hAnsi="Garamond"/>
    </w:rPr>
  </w:style>
  <w:style w:type="paragraph" w:styleId="IndexHeading">
    <w:name w:val="index heading"/>
    <w:basedOn w:val="Normal"/>
    <w:next w:val="Index1"/>
    <w:semiHidden/>
    <w:rsid w:val="00517CEA"/>
    <w:pPr>
      <w:spacing w:before="120" w:after="120"/>
    </w:pPr>
    <w:rPr>
      <w:rFonts w:ascii="Arial" w:hAnsi="Arial"/>
      <w:b/>
      <w:color w:val="918585"/>
      <w:sz w:val="24"/>
    </w:rPr>
  </w:style>
  <w:style w:type="paragraph" w:customStyle="1" w:styleId="Chapter">
    <w:name w:val="Chapter"/>
    <w:basedOn w:val="Normal"/>
    <w:rsid w:val="00517CEA"/>
    <w:pPr>
      <w:spacing w:before="240"/>
    </w:pPr>
    <w:rPr>
      <w:rFonts w:ascii="Times New Roman" w:hAnsi="Times New Roman"/>
      <w:smallCaps/>
      <w:spacing w:val="80"/>
      <w:sz w:val="28"/>
    </w:rPr>
  </w:style>
  <w:style w:type="paragraph" w:customStyle="1" w:styleId="InChapter">
    <w:name w:val="InChapter"/>
    <w:basedOn w:val="Heading3"/>
    <w:rsid w:val="00517CEA"/>
    <w:pPr>
      <w:spacing w:after="240"/>
      <w:outlineLvl w:val="9"/>
    </w:pPr>
    <w:rPr>
      <w:noProof/>
    </w:rPr>
  </w:style>
  <w:style w:type="paragraph" w:styleId="Index2">
    <w:name w:val="index 2"/>
    <w:basedOn w:val="Normal"/>
    <w:next w:val="Normal"/>
    <w:semiHidden/>
    <w:rsid w:val="00517CEA"/>
    <w:pPr>
      <w:tabs>
        <w:tab w:val="right" w:pos="4176"/>
      </w:tabs>
      <w:ind w:left="568" w:hanging="284"/>
    </w:pPr>
    <w:rPr>
      <w:rFonts w:ascii="Garamond" w:hAnsi="Garamond"/>
    </w:rPr>
  </w:style>
  <w:style w:type="paragraph" w:customStyle="1" w:styleId="Byline">
    <w:name w:val="Byline"/>
    <w:rsid w:val="00517C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7CEA"/>
    <w:pPr>
      <w:tabs>
        <w:tab w:val="clear" w:pos="3600"/>
        <w:tab w:val="clear" w:pos="3958"/>
      </w:tabs>
      <w:jc w:val="right"/>
    </w:pPr>
  </w:style>
  <w:style w:type="character" w:styleId="Emphasis">
    <w:name w:val="Emphasis"/>
    <w:basedOn w:val="DefaultParagraphFont"/>
    <w:qFormat/>
    <w:rsid w:val="00517CEA"/>
    <w:rPr>
      <w:i/>
    </w:rPr>
  </w:style>
  <w:style w:type="paragraph" w:styleId="Caption">
    <w:name w:val="caption"/>
    <w:basedOn w:val="BodyText"/>
    <w:next w:val="Normal"/>
    <w:qFormat/>
    <w:rsid w:val="00517CEA"/>
    <w:pPr>
      <w:framePr w:w="2268" w:hSpace="181" w:vSpace="181" w:wrap="around" w:vAnchor="text" w:hAnchor="page" w:x="1135" w:y="285" w:anchorLock="1"/>
    </w:pPr>
    <w:rPr>
      <w:i/>
    </w:rPr>
  </w:style>
  <w:style w:type="paragraph" w:customStyle="1" w:styleId="MiniTOCTitle">
    <w:name w:val="MiniTOCTitle"/>
    <w:basedOn w:val="Heading4"/>
    <w:rsid w:val="00517CEA"/>
    <w:pPr>
      <w:spacing w:before="240"/>
      <w:outlineLvl w:val="9"/>
    </w:pPr>
    <w:rPr>
      <w:noProof/>
      <w:sz w:val="24"/>
    </w:rPr>
  </w:style>
  <w:style w:type="paragraph" w:customStyle="1" w:styleId="MiniTOCItem">
    <w:name w:val="MiniTOCItem"/>
    <w:basedOn w:val="ListBullet"/>
    <w:rsid w:val="00517CEA"/>
    <w:pPr>
      <w:numPr>
        <w:numId w:val="0"/>
      </w:numPr>
      <w:tabs>
        <w:tab w:val="right" w:leader="dot" w:pos="6521"/>
      </w:tabs>
      <w:spacing w:before="0" w:after="0"/>
    </w:pPr>
  </w:style>
  <w:style w:type="paragraph" w:customStyle="1" w:styleId="TOFTitle">
    <w:name w:val="TOFTitle"/>
    <w:basedOn w:val="TOCTitle"/>
    <w:rsid w:val="00517CEA"/>
  </w:style>
  <w:style w:type="paragraph" w:styleId="TableofFigures">
    <w:name w:val="table of figures"/>
    <w:basedOn w:val="Normal"/>
    <w:next w:val="Normal"/>
    <w:semiHidden/>
    <w:rsid w:val="00517CEA"/>
    <w:pPr>
      <w:tabs>
        <w:tab w:val="right" w:leader="dot" w:pos="9072"/>
      </w:tabs>
      <w:ind w:left="970" w:hanging="403"/>
    </w:pPr>
    <w:rPr>
      <w:rFonts w:ascii="Times New Roman" w:hAnsi="Times New Roman"/>
      <w:b/>
    </w:rPr>
  </w:style>
  <w:style w:type="paragraph" w:styleId="ListNumber">
    <w:name w:val="List Number"/>
    <w:basedOn w:val="List"/>
    <w:rsid w:val="00517CEA"/>
    <w:pPr>
      <w:numPr>
        <w:numId w:val="11"/>
      </w:numPr>
    </w:pPr>
  </w:style>
  <w:style w:type="character" w:customStyle="1" w:styleId="WingdingSymbols">
    <w:name w:val="Wingding Symbols"/>
    <w:rsid w:val="00517CEA"/>
    <w:rPr>
      <w:rFonts w:ascii="Wingdings" w:hAnsi="Wingdings"/>
    </w:rPr>
  </w:style>
  <w:style w:type="paragraph" w:customStyle="1" w:styleId="TableHeading">
    <w:name w:val="Table Heading"/>
    <w:basedOn w:val="HeadingBase"/>
    <w:rsid w:val="00517CEA"/>
    <w:pPr>
      <w:keepLines/>
      <w:pBdr>
        <w:bottom w:val="single" w:sz="6" w:space="1" w:color="918585"/>
      </w:pBdr>
      <w:spacing w:before="240"/>
    </w:pPr>
  </w:style>
  <w:style w:type="character" w:customStyle="1" w:styleId="HotSpot">
    <w:name w:val="HotSpot"/>
    <w:rsid w:val="00517CEA"/>
    <w:rPr>
      <w:color w:val="0033CC"/>
      <w:u w:val="none"/>
    </w:rPr>
  </w:style>
  <w:style w:type="paragraph" w:customStyle="1" w:styleId="BodyTextRight">
    <w:name w:val="Body Text Right"/>
    <w:basedOn w:val="BodyText"/>
    <w:rsid w:val="00517CEA"/>
    <w:pPr>
      <w:spacing w:before="0" w:after="0"/>
      <w:jc w:val="right"/>
    </w:pPr>
  </w:style>
  <w:style w:type="paragraph" w:styleId="Index3">
    <w:name w:val="index 3"/>
    <w:basedOn w:val="ListNumber2"/>
    <w:next w:val="Normal"/>
    <w:semiHidden/>
    <w:rsid w:val="00517CEA"/>
    <w:pPr>
      <w:numPr>
        <w:numId w:val="0"/>
      </w:numPr>
      <w:tabs>
        <w:tab w:val="right" w:leader="dot" w:pos="4176"/>
      </w:tabs>
    </w:pPr>
  </w:style>
  <w:style w:type="paragraph" w:styleId="ListNumber2">
    <w:name w:val="List Number 2"/>
    <w:basedOn w:val="List2"/>
    <w:rsid w:val="00517CEA"/>
    <w:pPr>
      <w:numPr>
        <w:numId w:val="10"/>
      </w:numPr>
      <w:tabs>
        <w:tab w:val="clear" w:pos="1060"/>
      </w:tabs>
    </w:pPr>
  </w:style>
  <w:style w:type="paragraph" w:customStyle="1" w:styleId="MarginNote">
    <w:name w:val="Margin Note"/>
    <w:basedOn w:val="BodyText"/>
    <w:rsid w:val="00517C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7C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7C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7CEA"/>
    <w:rPr>
      <w:sz w:val="32"/>
    </w:rPr>
  </w:style>
  <w:style w:type="paragraph" w:customStyle="1" w:styleId="HeadingProcedure">
    <w:name w:val="Heading Procedure"/>
    <w:basedOn w:val="HeadingBase"/>
    <w:next w:val="Normal"/>
    <w:rsid w:val="00517CEA"/>
    <w:pPr>
      <w:tabs>
        <w:tab w:val="left" w:pos="0"/>
      </w:tabs>
      <w:spacing w:before="120" w:after="60"/>
    </w:pPr>
    <w:rPr>
      <w:i/>
      <w:color w:val="918585"/>
      <w:sz w:val="22"/>
    </w:rPr>
  </w:style>
  <w:style w:type="paragraph" w:customStyle="1" w:styleId="TableBodyText">
    <w:name w:val="Table Body Text"/>
    <w:basedOn w:val="BodyText"/>
    <w:rsid w:val="00517CEA"/>
    <w:pPr>
      <w:spacing w:before="60" w:after="60"/>
    </w:pPr>
  </w:style>
  <w:style w:type="paragraph" w:styleId="ListContinue">
    <w:name w:val="List Continue"/>
    <w:basedOn w:val="List"/>
    <w:rsid w:val="00517CEA"/>
    <w:pPr>
      <w:ind w:firstLine="0"/>
    </w:pPr>
  </w:style>
  <w:style w:type="paragraph" w:customStyle="1" w:styleId="ListNote">
    <w:name w:val="List Note"/>
    <w:basedOn w:val="List"/>
    <w:rsid w:val="00517CEA"/>
    <w:pPr>
      <w:pBdr>
        <w:top w:val="single" w:sz="6" w:space="2" w:color="918585"/>
        <w:bottom w:val="single" w:sz="6" w:space="2" w:color="918585"/>
      </w:pBdr>
      <w:tabs>
        <w:tab w:val="left" w:pos="1021"/>
      </w:tabs>
      <w:ind w:firstLine="0"/>
    </w:pPr>
  </w:style>
  <w:style w:type="paragraph" w:customStyle="1" w:styleId="Warning">
    <w:name w:val="Warning"/>
    <w:basedOn w:val="BodyText"/>
    <w:rsid w:val="00517CEA"/>
    <w:pPr>
      <w:shd w:val="clear" w:color="auto" w:fill="D9D9D9"/>
      <w:tabs>
        <w:tab w:val="left" w:pos="992"/>
      </w:tabs>
      <w:ind w:left="119" w:right="119"/>
    </w:pPr>
    <w:rPr>
      <w:sz w:val="20"/>
    </w:rPr>
  </w:style>
  <w:style w:type="paragraph" w:customStyle="1" w:styleId="MarginIcons">
    <w:name w:val="Margin Icons"/>
    <w:basedOn w:val="BodyText"/>
    <w:rsid w:val="00517C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7CEA"/>
    <w:rPr>
      <w:rFonts w:ascii="Courier New" w:hAnsi="Courier New"/>
    </w:rPr>
  </w:style>
  <w:style w:type="paragraph" w:customStyle="1" w:styleId="NoteBullet">
    <w:name w:val="Note Bullet"/>
    <w:basedOn w:val="Note"/>
    <w:rsid w:val="00517CEA"/>
    <w:pPr>
      <w:tabs>
        <w:tab w:val="clear" w:pos="680"/>
      </w:tabs>
      <w:spacing w:before="60" w:after="60"/>
    </w:pPr>
  </w:style>
  <w:style w:type="paragraph" w:customStyle="1" w:styleId="SubHeading2">
    <w:name w:val="SubHeading2"/>
    <w:basedOn w:val="HeadingBase"/>
    <w:rsid w:val="00517CEA"/>
    <w:pPr>
      <w:spacing w:before="240" w:after="60"/>
    </w:pPr>
    <w:rPr>
      <w:sz w:val="20"/>
    </w:rPr>
  </w:style>
  <w:style w:type="paragraph" w:customStyle="1" w:styleId="SubHeading1">
    <w:name w:val="SubHeading1"/>
    <w:basedOn w:val="HeadingBase"/>
    <w:rsid w:val="00517CEA"/>
    <w:pPr>
      <w:spacing w:before="240" w:after="60"/>
    </w:pPr>
    <w:rPr>
      <w:color w:val="918585"/>
      <w:sz w:val="22"/>
    </w:rPr>
  </w:style>
  <w:style w:type="paragraph" w:customStyle="1" w:styleId="SideHeading">
    <w:name w:val="Side Heading"/>
    <w:basedOn w:val="HeadingBase"/>
    <w:rsid w:val="00517C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7CEA"/>
    <w:pPr>
      <w:numPr>
        <w:numId w:val="12"/>
      </w:numPr>
    </w:pPr>
  </w:style>
  <w:style w:type="paragraph" w:styleId="PlainText">
    <w:name w:val="Plain Text"/>
    <w:basedOn w:val="Normal"/>
    <w:link w:val="PlainTextChar"/>
    <w:rsid w:val="00517CEA"/>
    <w:rPr>
      <w:sz w:val="20"/>
    </w:rPr>
  </w:style>
  <w:style w:type="character" w:customStyle="1" w:styleId="PlainTextChar">
    <w:name w:val="Plain Text Char"/>
    <w:basedOn w:val="DefaultParagraphFont"/>
    <w:link w:val="PlainText"/>
    <w:rsid w:val="00517C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17CEA"/>
    <w:rPr>
      <w:b/>
      <w:smallCaps/>
    </w:rPr>
  </w:style>
  <w:style w:type="paragraph" w:customStyle="1" w:styleId="TableListNumber">
    <w:name w:val="Table List Number"/>
    <w:basedOn w:val="ListNumber"/>
    <w:rsid w:val="00517CEA"/>
    <w:pPr>
      <w:numPr>
        <w:numId w:val="0"/>
      </w:numPr>
    </w:pPr>
  </w:style>
  <w:style w:type="paragraph" w:styleId="TOC4">
    <w:name w:val="toc 4"/>
    <w:basedOn w:val="TOCBase"/>
    <w:next w:val="Normal"/>
    <w:semiHidden/>
    <w:rsid w:val="00517CEA"/>
    <w:pPr>
      <w:tabs>
        <w:tab w:val="right" w:leader="dot" w:pos="9071"/>
      </w:tabs>
      <w:ind w:left="1701"/>
    </w:pPr>
  </w:style>
  <w:style w:type="paragraph" w:customStyle="1" w:styleId="ListAlpha">
    <w:name w:val="List Alpha"/>
    <w:basedOn w:val="List"/>
    <w:rsid w:val="00517CEA"/>
    <w:pPr>
      <w:numPr>
        <w:numId w:val="9"/>
      </w:numPr>
    </w:pPr>
  </w:style>
  <w:style w:type="paragraph" w:customStyle="1" w:styleId="ListAlpha2">
    <w:name w:val="List Alpha 2"/>
    <w:basedOn w:val="List2"/>
    <w:rsid w:val="00517CEA"/>
    <w:pPr>
      <w:numPr>
        <w:numId w:val="8"/>
      </w:numPr>
    </w:pPr>
  </w:style>
  <w:style w:type="paragraph" w:styleId="List3">
    <w:name w:val="List 3"/>
    <w:basedOn w:val="BodyText"/>
    <w:rsid w:val="00517CEA"/>
    <w:pPr>
      <w:tabs>
        <w:tab w:val="left" w:pos="1021"/>
      </w:tabs>
      <w:spacing w:before="60" w:after="60"/>
      <w:ind w:left="1020" w:hanging="340"/>
    </w:pPr>
  </w:style>
  <w:style w:type="paragraph" w:styleId="List4">
    <w:name w:val="List 4"/>
    <w:basedOn w:val="BodyText"/>
    <w:rsid w:val="00517CEA"/>
    <w:pPr>
      <w:tabs>
        <w:tab w:val="left" w:pos="1361"/>
      </w:tabs>
      <w:spacing w:before="60" w:after="60"/>
      <w:ind w:left="1361" w:hanging="340"/>
    </w:pPr>
  </w:style>
  <w:style w:type="paragraph" w:styleId="List5">
    <w:name w:val="List 5"/>
    <w:basedOn w:val="BodyText"/>
    <w:rsid w:val="00517CEA"/>
    <w:pPr>
      <w:tabs>
        <w:tab w:val="left" w:pos="1701"/>
      </w:tabs>
      <w:spacing w:before="60" w:after="60"/>
      <w:ind w:left="1701" w:hanging="340"/>
    </w:pPr>
  </w:style>
  <w:style w:type="paragraph" w:styleId="ListBullet3">
    <w:name w:val="List Bullet 3"/>
    <w:basedOn w:val="List3"/>
    <w:rsid w:val="00517CEA"/>
    <w:pPr>
      <w:numPr>
        <w:numId w:val="15"/>
      </w:numPr>
      <w:tabs>
        <w:tab w:val="clear" w:pos="1021"/>
      </w:tabs>
      <w:ind w:left="1037" w:hanging="357"/>
    </w:pPr>
  </w:style>
  <w:style w:type="paragraph" w:styleId="ListBullet4">
    <w:name w:val="List Bullet 4"/>
    <w:basedOn w:val="List4"/>
    <w:rsid w:val="00517CEA"/>
    <w:pPr>
      <w:numPr>
        <w:numId w:val="3"/>
      </w:numPr>
    </w:pPr>
  </w:style>
  <w:style w:type="paragraph" w:styleId="ListBullet5">
    <w:name w:val="List Bullet 5"/>
    <w:basedOn w:val="List5"/>
    <w:rsid w:val="00517CEA"/>
    <w:pPr>
      <w:numPr>
        <w:numId w:val="4"/>
      </w:numPr>
    </w:pPr>
  </w:style>
  <w:style w:type="paragraph" w:styleId="ListContinue2">
    <w:name w:val="List Continue 2"/>
    <w:basedOn w:val="List2"/>
    <w:rsid w:val="00517CEA"/>
    <w:pPr>
      <w:ind w:firstLine="0"/>
    </w:pPr>
  </w:style>
  <w:style w:type="paragraph" w:styleId="ListContinue3">
    <w:name w:val="List Continue 3"/>
    <w:basedOn w:val="List3"/>
    <w:rsid w:val="00517CEA"/>
    <w:pPr>
      <w:ind w:left="1021" w:firstLine="0"/>
    </w:pPr>
  </w:style>
  <w:style w:type="paragraph" w:styleId="ListContinue4">
    <w:name w:val="List Continue 4"/>
    <w:basedOn w:val="List4"/>
    <w:rsid w:val="00517CEA"/>
    <w:pPr>
      <w:ind w:firstLine="0"/>
    </w:pPr>
  </w:style>
  <w:style w:type="paragraph" w:styleId="ListContinue5">
    <w:name w:val="List Continue 5"/>
    <w:basedOn w:val="List5"/>
    <w:rsid w:val="00517CEA"/>
    <w:pPr>
      <w:ind w:firstLine="0"/>
    </w:pPr>
  </w:style>
  <w:style w:type="paragraph" w:styleId="ListNumber3">
    <w:name w:val="List Number 3"/>
    <w:basedOn w:val="List3"/>
    <w:rsid w:val="00517CEA"/>
    <w:pPr>
      <w:numPr>
        <w:numId w:val="5"/>
      </w:numPr>
    </w:pPr>
  </w:style>
  <w:style w:type="paragraph" w:styleId="ListNumber4">
    <w:name w:val="List Number 4"/>
    <w:basedOn w:val="List4"/>
    <w:rsid w:val="00517CEA"/>
    <w:pPr>
      <w:numPr>
        <w:numId w:val="6"/>
      </w:numPr>
    </w:pPr>
  </w:style>
  <w:style w:type="paragraph" w:styleId="ListNumber5">
    <w:name w:val="List Number 5"/>
    <w:basedOn w:val="List5"/>
    <w:rsid w:val="00517CEA"/>
    <w:pPr>
      <w:numPr>
        <w:numId w:val="7"/>
      </w:numPr>
    </w:pPr>
  </w:style>
  <w:style w:type="paragraph" w:styleId="BlockText">
    <w:name w:val="Block Text"/>
    <w:basedOn w:val="Normal"/>
    <w:rsid w:val="00517CEA"/>
    <w:pPr>
      <w:spacing w:after="120"/>
      <w:ind w:left="1440" w:right="1440"/>
    </w:pPr>
  </w:style>
  <w:style w:type="character" w:customStyle="1" w:styleId="Subscript">
    <w:name w:val="Subscript"/>
    <w:basedOn w:val="DefaultParagraphFont"/>
    <w:rsid w:val="00517CEA"/>
    <w:rPr>
      <w:sz w:val="16"/>
      <w:vertAlign w:val="subscript"/>
    </w:rPr>
  </w:style>
  <w:style w:type="character" w:customStyle="1" w:styleId="Superscript">
    <w:name w:val="Superscript"/>
    <w:basedOn w:val="DefaultParagraphFont"/>
    <w:rsid w:val="00517CEA"/>
    <w:rPr>
      <w:sz w:val="16"/>
      <w:vertAlign w:val="superscript"/>
    </w:rPr>
  </w:style>
  <w:style w:type="character" w:customStyle="1" w:styleId="Symbols">
    <w:name w:val="Symbols"/>
    <w:basedOn w:val="DefaultParagraphFont"/>
    <w:rsid w:val="00517CEA"/>
    <w:rPr>
      <w:rFonts w:ascii="Symbol" w:hAnsi="Symbol"/>
    </w:rPr>
  </w:style>
  <w:style w:type="character" w:customStyle="1" w:styleId="MenuOptions">
    <w:name w:val="Menu Options"/>
    <w:basedOn w:val="DefaultParagraphFont"/>
    <w:rsid w:val="00517CEA"/>
    <w:rPr>
      <w:rFonts w:ascii="Arial Narrow" w:hAnsi="Arial Narrow"/>
      <w:smallCaps/>
    </w:rPr>
  </w:style>
  <w:style w:type="character" w:customStyle="1" w:styleId="Buttons">
    <w:name w:val="Buttons"/>
    <w:basedOn w:val="DefaultParagraphFont"/>
    <w:rsid w:val="00517CEA"/>
    <w:rPr>
      <w:b/>
    </w:rPr>
  </w:style>
  <w:style w:type="character" w:customStyle="1" w:styleId="Underlined">
    <w:name w:val="Underlined"/>
    <w:basedOn w:val="DefaultParagraphFont"/>
    <w:rsid w:val="00517CEA"/>
    <w:rPr>
      <w:u w:val="single"/>
    </w:rPr>
  </w:style>
  <w:style w:type="paragraph" w:customStyle="1" w:styleId="TableBodyTextRight">
    <w:name w:val="Table Body Text Right"/>
    <w:basedOn w:val="TableBodyText"/>
    <w:rsid w:val="00517CEA"/>
    <w:pPr>
      <w:widowControl w:val="0"/>
      <w:autoSpaceDE w:val="0"/>
      <w:autoSpaceDN w:val="0"/>
      <w:adjustRightInd w:val="0"/>
      <w:jc w:val="right"/>
    </w:pPr>
    <w:rPr>
      <w:rFonts w:cs="Arial"/>
      <w:szCs w:val="18"/>
    </w:rPr>
  </w:style>
  <w:style w:type="paragraph" w:customStyle="1" w:styleId="CopyrightText">
    <w:name w:val="Copyright Text"/>
    <w:basedOn w:val="BodyText"/>
    <w:rsid w:val="00517CEA"/>
    <w:rPr>
      <w:sz w:val="18"/>
    </w:rPr>
  </w:style>
  <w:style w:type="paragraph" w:customStyle="1" w:styleId="BodySmallRight">
    <w:name w:val="Body Small Right"/>
    <w:basedOn w:val="BodyTextRight"/>
    <w:rsid w:val="00517CEA"/>
    <w:rPr>
      <w:sz w:val="18"/>
      <w:szCs w:val="18"/>
    </w:rPr>
  </w:style>
  <w:style w:type="paragraph" w:customStyle="1" w:styleId="MarginEdition">
    <w:name w:val="Margin Edition"/>
    <w:basedOn w:val="MarginNote"/>
    <w:rsid w:val="00517CEA"/>
    <w:pPr>
      <w:spacing w:before="0" w:after="0"/>
    </w:pPr>
    <w:rPr>
      <w:rFonts w:ascii="Times New Roman" w:hAnsi="Times New Roman"/>
      <w:color w:val="999999"/>
    </w:rPr>
  </w:style>
  <w:style w:type="paragraph" w:customStyle="1" w:styleId="Spacer">
    <w:name w:val="Spacer"/>
    <w:basedOn w:val="Normal"/>
    <w:rsid w:val="00517CEA"/>
    <w:rPr>
      <w:sz w:val="2"/>
      <w:szCs w:val="2"/>
    </w:rPr>
  </w:style>
  <w:style w:type="character" w:customStyle="1" w:styleId="Small">
    <w:name w:val="Small"/>
    <w:basedOn w:val="DefaultParagraphFont"/>
    <w:rsid w:val="00517CEA"/>
    <w:rPr>
      <w:sz w:val="16"/>
    </w:rPr>
  </w:style>
  <w:style w:type="paragraph" w:customStyle="1" w:styleId="WideTable">
    <w:name w:val="Wide Table"/>
    <w:basedOn w:val="Normal"/>
    <w:rsid w:val="00517CEA"/>
    <w:pPr>
      <w:ind w:left="-1418"/>
    </w:pPr>
    <w:rPr>
      <w:sz w:val="2"/>
      <w:szCs w:val="2"/>
    </w:rPr>
  </w:style>
  <w:style w:type="character" w:styleId="PageNumber">
    <w:name w:val="page number"/>
    <w:basedOn w:val="DefaultParagraphFont"/>
    <w:rsid w:val="00517CEA"/>
  </w:style>
  <w:style w:type="paragraph" w:styleId="Quote">
    <w:name w:val="Quote"/>
    <w:basedOn w:val="Heading1"/>
    <w:link w:val="QuoteChar"/>
    <w:qFormat/>
    <w:rsid w:val="00517CEA"/>
    <w:rPr>
      <w:b w:val="0"/>
      <w:sz w:val="72"/>
      <w:szCs w:val="72"/>
      <w:lang w:val="en-NZ"/>
    </w:rPr>
  </w:style>
  <w:style w:type="character" w:customStyle="1" w:styleId="QuoteChar">
    <w:name w:val="Quote Char"/>
    <w:basedOn w:val="DefaultParagraphFont"/>
    <w:link w:val="Quote"/>
    <w:rsid w:val="00517C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7CEA"/>
    <w:pPr>
      <w:pageBreakBefore/>
    </w:pPr>
  </w:style>
  <w:style w:type="paragraph" w:customStyle="1" w:styleId="Border">
    <w:name w:val="Border"/>
    <w:basedOn w:val="Normal"/>
    <w:qFormat/>
    <w:rsid w:val="00517C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7CEA"/>
    <w:rPr>
      <w:b/>
      <w:bCs/>
      <w:i/>
      <w:iCs/>
      <w:color w:val="auto"/>
    </w:rPr>
  </w:style>
  <w:style w:type="paragraph" w:styleId="IntenseQuote">
    <w:name w:val="Intense Quote"/>
    <w:basedOn w:val="Normal"/>
    <w:next w:val="Normal"/>
    <w:link w:val="IntenseQuoteChar"/>
    <w:uiPriority w:val="30"/>
    <w:qFormat/>
    <w:rsid w:val="00517C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7C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17CEA"/>
    <w:rPr>
      <w:smallCaps/>
      <w:color w:val="auto"/>
      <w:u w:val="single"/>
    </w:rPr>
  </w:style>
  <w:style w:type="character" w:styleId="IntenseReference">
    <w:name w:val="Intense Reference"/>
    <w:basedOn w:val="DefaultParagraphFont"/>
    <w:uiPriority w:val="32"/>
    <w:qFormat/>
    <w:rsid w:val="00517CEA"/>
    <w:rPr>
      <w:b/>
      <w:bCs/>
      <w:smallCaps/>
      <w:color w:val="auto"/>
      <w:spacing w:val="5"/>
      <w:u w:val="single"/>
    </w:rPr>
  </w:style>
  <w:style w:type="paragraph" w:customStyle="1" w:styleId="2ColumnHeading">
    <w:name w:val="2Column Heading"/>
    <w:basedOn w:val="BodyText"/>
    <w:qFormat/>
    <w:rsid w:val="00517CEA"/>
    <w:pPr>
      <w:spacing w:after="60"/>
      <w:ind w:left="-2268"/>
    </w:pPr>
    <w:rPr>
      <w:b/>
    </w:rPr>
  </w:style>
  <w:style w:type="paragraph" w:customStyle="1" w:styleId="Heading1TOC">
    <w:name w:val="Heading1 TOC"/>
    <w:basedOn w:val="Normal"/>
    <w:qFormat/>
    <w:rsid w:val="00517CEA"/>
    <w:pPr>
      <w:spacing w:before="240" w:after="120"/>
    </w:pPr>
    <w:rPr>
      <w:rFonts w:ascii="Times New Roman" w:hAnsi="Times New Roman"/>
      <w:b/>
      <w:sz w:val="32"/>
    </w:rPr>
  </w:style>
  <w:style w:type="paragraph" w:customStyle="1" w:styleId="Heading2TOC">
    <w:name w:val="Heading2 TOC"/>
    <w:basedOn w:val="Normal"/>
    <w:qFormat/>
    <w:rsid w:val="00517CEA"/>
    <w:pPr>
      <w:spacing w:before="240" w:after="60"/>
    </w:pPr>
    <w:rPr>
      <w:rFonts w:ascii="Times New Roman" w:hAnsi="Times New Roman"/>
      <w:b/>
      <w:sz w:val="28"/>
    </w:rPr>
  </w:style>
  <w:style w:type="character" w:customStyle="1" w:styleId="Underline">
    <w:name w:val="Underline"/>
    <w:basedOn w:val="DefaultParagraphFont"/>
    <w:qFormat/>
    <w:rsid w:val="00517CEA"/>
    <w:rPr>
      <w:u w:val="single"/>
    </w:rPr>
  </w:style>
  <w:style w:type="paragraph" w:styleId="BalloonText">
    <w:name w:val="Balloon Text"/>
    <w:basedOn w:val="Normal"/>
    <w:link w:val="BalloonTextChar"/>
    <w:rsid w:val="00517CEA"/>
    <w:rPr>
      <w:rFonts w:ascii="Tahoma" w:hAnsi="Tahoma" w:cs="Tahoma"/>
      <w:sz w:val="16"/>
      <w:szCs w:val="16"/>
    </w:rPr>
  </w:style>
  <w:style w:type="character" w:customStyle="1" w:styleId="BalloonTextChar">
    <w:name w:val="Balloon Text Char"/>
    <w:basedOn w:val="DefaultParagraphFont"/>
    <w:link w:val="BalloonText"/>
    <w:rsid w:val="00517C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7C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7C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1229</Words>
  <Characters>8010</Characters>
  <Application>Microsoft Office Word</Application>
  <DocSecurity>0</DocSecurity>
  <Lines>268</Lines>
  <Paragraphs>130</Paragraphs>
  <ScaleCrop>false</ScaleCrop>
  <Company>Author-it Software Corporation Ltd.</Company>
  <LinksUpToDate>false</LinksUpToDate>
  <CharactersWithSpaces>9164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FDFPH2003A Operate an extraction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2012-05-26T16:02:00Z</dcterms:created>
  <dcterms:modified xsi:type="dcterms:W3CDTF">2012-05-26T16:02:00Z</dcterms:modified>
</cp:coreProperties>
</file>