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C4A" w:rsidP="003C3C4A">
      <w:pPr>
        <w:pStyle w:val="Title"/>
      </w:pPr>
      <w:r>
        <w:fldChar w:fldCharType="begin"/>
      </w:r>
      <w:r>
        <w:instrText xml:space="preserve"> TITLE   \* MERGEFORMAT </w:instrText>
      </w:r>
      <w:r>
        <w:fldChar w:fldCharType="separate"/>
      </w:r>
      <w:r>
        <w:t>FDFOP2045A Operate pumping equipment</w:t>
      </w:r>
      <w:r>
        <w:fldChar w:fldCharType="end"/>
      </w:r>
    </w:p>
    <w:p w:rsidR="003C3C4A" w:rsidP="003C3C4A">
      <w:pPr>
        <w:pStyle w:val="Version"/>
        <w:sectPr w:rsidSect="000E61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6165" w:rsidP="000E6165">
      <w:pPr>
        <w:pStyle w:val="SuperHeading"/>
      </w:pPr>
      <w:r w:rsidRPr="000E6165">
        <w:t>FDFOP2045A Operate pumping equipment</w:t>
      </w:r>
    </w:p>
    <w:p w:rsidR="00000000" w:rsidRPr="000E6165" w:rsidP="000E6165">
      <w:pPr>
        <w:pStyle w:val="SuperHeading"/>
      </w:pPr>
    </w:p>
    <w:p w:rsidR="00000000" w:rsidRPr="000E6165" w:rsidP="000E6165">
      <w:pPr>
        <w:pStyle w:val="Heading1"/>
      </w:pPr>
      <w:bookmarkStart w:id="1" w:name="O_75555"/>
      <w:bookmarkEnd w:id="1"/>
      <w:r w:rsidRPr="000E6165">
        <w:t>Modification History</w:t>
      </w:r>
    </w:p>
    <w:p w:rsidR="00000000" w:rsidRPr="000E6165" w:rsidP="000E6165">
      <w:pPr>
        <w:pStyle w:val="BodyText"/>
      </w:pPr>
      <w:r w:rsidRPr="000E6165">
        <w:t>Not applicable.</w:t>
      </w:r>
    </w:p>
    <w:p w:rsidR="00000000" w:rsidRPr="000E6165" w:rsidP="000E6165">
      <w:pPr>
        <w:pStyle w:val="AllowPageBreak"/>
      </w:pPr>
    </w:p>
    <w:p w:rsidR="00000000" w:rsidRPr="000E6165" w:rsidP="000E6165">
      <w:pPr>
        <w:pStyle w:val="Heading1"/>
      </w:pPr>
      <w:bookmarkStart w:id="2" w:name="O_75556"/>
      <w:bookmarkEnd w:id="2"/>
      <w:r w:rsidRPr="000E6165">
        <w:t>Unit Descriptor</w:t>
      </w:r>
    </w:p>
    <w:tbl>
      <w:tblPr>
        <w:tblW w:w="0" w:type="auto"/>
        <w:tblLayout w:type="fixed"/>
        <w:tblCellMar>
          <w:left w:w="62" w:type="dxa"/>
          <w:right w:w="62" w:type="dxa"/>
        </w:tblCellMar>
        <w:tblLook w:val="0000"/>
      </w:tblPr>
      <w:tblGrid>
        <w:gridCol w:w="2671"/>
        <w:gridCol w:w="5851"/>
      </w:tblGrid>
      <w:tr w:rsidTr="003C3C4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This unit of competency covers the skills and knowledge required to inspect, operate and monitor pumps and related e</w:t>
            </w:r>
            <w:r w:rsidRPr="000E6165">
              <w:t xml:space="preserve">quipment. </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3" w:name="O_75557"/>
      <w:bookmarkEnd w:id="3"/>
      <w:r w:rsidRPr="000E6165">
        <w:t>Application of the Unit</w:t>
      </w:r>
    </w:p>
    <w:tbl>
      <w:tblPr>
        <w:tblW w:w="0" w:type="auto"/>
        <w:tblLayout w:type="fixed"/>
        <w:tblCellMar>
          <w:left w:w="62" w:type="dxa"/>
          <w:right w:w="62" w:type="dxa"/>
        </w:tblCellMar>
        <w:tblLook w:val="0000"/>
      </w:tblPr>
      <w:tblGrid>
        <w:gridCol w:w="2749"/>
        <w:gridCol w:w="5773"/>
      </w:tblGrid>
      <w:tr w:rsidTr="003C3C4A">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This unit has application in a food production environment. It typically targets the production worker responsible for applying basic operating pr</w:t>
            </w:r>
            <w:r w:rsidRPr="000E6165">
              <w:t>inciples to the operation and monitoring of pumping equipment.</w:t>
            </w:r>
          </w:p>
          <w:p w:rsidR="00000000" w:rsidRPr="000E6165" w:rsidP="000E6165">
            <w:pPr>
              <w:pStyle w:val="BodyText"/>
            </w:pPr>
            <w:r w:rsidRPr="000E6165">
              <w:t xml:space="preserve">This unit should be selected where an operator requires an understanding of the operating principles and components of pumps/the pumping system and related equipment in order to carry out work </w:t>
            </w:r>
            <w:r w:rsidRPr="000E6165">
              <w:t>requirements.</w:t>
            </w:r>
          </w:p>
          <w:p w:rsidR="00000000" w:rsidRPr="000E6165" w:rsidP="000E6165">
            <w:pPr>
              <w:pStyle w:val="BodyText"/>
            </w:pPr>
            <w:r w:rsidRPr="000E6165">
              <w:t>When applied to the pharmaceutical industry, relevant Good Manufacturing Practice (GMP) codes apply and reference to food safety is replaced by GMP.</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4" w:name="O_75558"/>
      <w:bookmarkEnd w:id="4"/>
      <w:r w:rsidRPr="000E6165">
        <w:t>Licensing/Regulatory Information</w:t>
      </w:r>
    </w:p>
    <w:p w:rsidR="00000000" w:rsidRPr="000E6165" w:rsidP="000E6165">
      <w:pPr>
        <w:pStyle w:val="BodyText"/>
      </w:pPr>
      <w:r w:rsidRPr="000E6165">
        <w:t>Not applicable.</w:t>
      </w:r>
    </w:p>
    <w:p w:rsidR="00000000" w:rsidRPr="000E6165" w:rsidP="000E6165">
      <w:pPr>
        <w:pStyle w:val="AllowPageBreak"/>
      </w:pPr>
    </w:p>
    <w:p w:rsidR="00000000" w:rsidRPr="000E6165" w:rsidP="000E6165">
      <w:pPr>
        <w:pStyle w:val="Heading1"/>
      </w:pPr>
      <w:bookmarkStart w:id="5" w:name="O_75560"/>
      <w:bookmarkEnd w:id="5"/>
      <w:r w:rsidRPr="000E6165">
        <w:t>Pre-Requisites</w:t>
      </w:r>
    </w:p>
    <w:tbl>
      <w:tblPr>
        <w:tblW w:w="0" w:type="auto"/>
        <w:tblLayout w:type="fixed"/>
        <w:tblCellMar>
          <w:left w:w="62" w:type="dxa"/>
          <w:right w:w="62" w:type="dxa"/>
        </w:tblCellMar>
        <w:tblLook w:val="0000"/>
      </w:tblPr>
      <w:tblGrid>
        <w:gridCol w:w="2775"/>
        <w:gridCol w:w="1295"/>
        <w:gridCol w:w="4452"/>
      </w:tblGrid>
      <w:tr w:rsidTr="003C3C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p>
        </w:tc>
      </w:tr>
      <w:tr w:rsidTr="003C3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p>
        </w:tc>
      </w:tr>
      <w:tr w:rsidTr="003C3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6" w:name="O_75559"/>
      <w:bookmarkEnd w:id="6"/>
      <w:r w:rsidRPr="000E6165">
        <w:t>Employability Skills Information</w:t>
      </w:r>
    </w:p>
    <w:tbl>
      <w:tblPr>
        <w:tblW w:w="0" w:type="auto"/>
        <w:tblLayout w:type="fixed"/>
        <w:tblCellMar>
          <w:left w:w="62" w:type="dxa"/>
          <w:right w:w="62" w:type="dxa"/>
        </w:tblCellMar>
        <w:tblLook w:val="0000"/>
      </w:tblPr>
      <w:tblGrid>
        <w:gridCol w:w="2802"/>
        <w:gridCol w:w="5720"/>
      </w:tblGrid>
      <w:tr w:rsidTr="003C3C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 xml:space="preserve">This unit contains employability skills.  </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7" w:name="O_75561"/>
      <w:bookmarkEnd w:id="7"/>
      <w:r w:rsidRPr="000E6165">
        <w:t>Elements and Performance Criteria Pre-Content</w:t>
      </w:r>
    </w:p>
    <w:tbl>
      <w:tblPr>
        <w:tblW w:w="0" w:type="auto"/>
        <w:tblLayout w:type="fixed"/>
        <w:tblCellMar>
          <w:left w:w="62" w:type="dxa"/>
          <w:right w:w="62" w:type="dxa"/>
        </w:tblCellMar>
        <w:tblLook w:val="0000"/>
      </w:tblPr>
      <w:tblGrid>
        <w:gridCol w:w="2564"/>
        <w:gridCol w:w="5958"/>
      </w:tblGrid>
      <w:tr w:rsidTr="003C3C4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Performance criteria describe the performance needed to demonstrate achievement of the element. Where bold italicised text is used, further information is detailed in the required skills and</w:t>
            </w:r>
            <w:r w:rsidRPr="000E6165">
              <w:t xml:space="preserve"> knowledge section and the range statement. Assessment of performance is to be consistent with the evidence guide.</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8" w:name="O_75562"/>
      <w:bookmarkEnd w:id="8"/>
      <w:r w:rsidRPr="000E6165">
        <w:t>Elements and Performance Criteria</w:t>
      </w:r>
    </w:p>
    <w:tbl>
      <w:tblPr>
        <w:tblW w:w="0" w:type="auto"/>
        <w:tblLayout w:type="fixed"/>
        <w:tblCellMar>
          <w:left w:w="62" w:type="dxa"/>
          <w:right w:w="62" w:type="dxa"/>
        </w:tblCellMar>
        <w:tblLook w:val="0000"/>
      </w:tblPr>
      <w:tblGrid>
        <w:gridCol w:w="2564"/>
        <w:gridCol w:w="5958"/>
      </w:tblGrid>
      <w:tr w:rsidTr="003C3C4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PERFORMANCE CRITERIA</w:t>
            </w:r>
          </w:p>
        </w:tc>
      </w:tr>
      <w:tr w:rsidTr="003C3C4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List"/>
              <w:rPr>
                <w:lang w:val="en-NZ"/>
              </w:rPr>
            </w:pPr>
            <w:r w:rsidRPr="000E6165">
              <w:t>1.</w:t>
            </w:r>
            <w:r w:rsidRPr="000E6165">
              <w:tab/>
              <w:t>Prepare pumps for operation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List2"/>
            </w:pPr>
            <w:r w:rsidRPr="000E6165">
              <w:t>1.1.</w:t>
            </w:r>
            <w:r w:rsidRPr="000E6165">
              <w:tab/>
            </w:r>
            <w:r w:rsidRPr="000E6165">
              <w:t>Pre-start checks on pumps and related equipment are carried out</w:t>
            </w:r>
          </w:p>
          <w:p w:rsidR="00000000" w:rsidRPr="000E6165" w:rsidP="000E6165">
            <w:pPr>
              <w:pStyle w:val="List2"/>
            </w:pPr>
            <w:r w:rsidRPr="000E6165">
              <w:t>1.2.</w:t>
            </w:r>
            <w:r w:rsidRPr="000E6165">
              <w:tab/>
              <w:t xml:space="preserve">Appropriate settings are selected to meet safety and production requirements </w:t>
            </w:r>
          </w:p>
          <w:p w:rsidR="00000000" w:rsidP="000E6165">
            <w:pPr>
              <w:pStyle w:val="List2"/>
              <w:rPr>
                <w:lang w:val="en-NZ"/>
              </w:rPr>
            </w:pPr>
            <w:r w:rsidRPr="000E6165">
              <w:t>1.3.</w:t>
            </w:r>
            <w:r w:rsidRPr="000E6165">
              <w:tab/>
              <w:t>Condition of pumps and related equipment is monitored and maintenance requirements are identified and re</w:t>
            </w:r>
            <w:r w:rsidRPr="000E6165">
              <w:t xml:space="preserve">ported according to workplace reporting requirements </w:t>
            </w:r>
          </w:p>
        </w:tc>
      </w:tr>
      <w:tr w:rsidTr="003C3C4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List"/>
              <w:rPr>
                <w:lang w:val="en-NZ"/>
              </w:rPr>
            </w:pPr>
            <w:r w:rsidRPr="000E6165">
              <w:t>2.</w:t>
            </w:r>
            <w:r w:rsidRPr="000E6165">
              <w:tab/>
              <w:t>Monitor pump operation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List2"/>
            </w:pPr>
            <w:r w:rsidRPr="000E6165">
              <w:t>2.1.</w:t>
            </w:r>
            <w:r w:rsidRPr="000E6165">
              <w:tab/>
              <w:t>Pumps and related equipment are started and monitored to identify variation in operating conditions</w:t>
            </w:r>
          </w:p>
          <w:p w:rsidR="00000000" w:rsidP="000E6165">
            <w:pPr>
              <w:pStyle w:val="List2"/>
              <w:rPr>
                <w:lang w:val="en-NZ"/>
              </w:rPr>
            </w:pPr>
            <w:r w:rsidRPr="000E6165">
              <w:t>2.2.</w:t>
            </w:r>
            <w:r w:rsidRPr="000E6165">
              <w:tab/>
              <w:t>Corrective action is taken as required to maintain pump operation</w:t>
            </w:r>
            <w:r w:rsidRPr="000E6165">
              <w:t xml:space="preserve"> within equipment capacity and operating parameters</w:t>
            </w:r>
          </w:p>
        </w:tc>
      </w:tr>
      <w:tr w:rsidTr="003C3C4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List"/>
              <w:rPr>
                <w:lang w:val="en-NZ"/>
              </w:rPr>
            </w:pPr>
            <w:r w:rsidRPr="000E6165">
              <w:t>3.</w:t>
            </w:r>
            <w:r w:rsidRPr="000E6165">
              <w:tab/>
              <w:t>Complete pump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List2"/>
            </w:pPr>
            <w:r w:rsidRPr="000E6165">
              <w:t>3.1.</w:t>
            </w:r>
            <w:r w:rsidRPr="000E6165">
              <w:tab/>
              <w:t>Pumps are prepared for cleaning and/or maintenance</w:t>
            </w:r>
          </w:p>
          <w:p w:rsidR="00000000" w:rsidRPr="000E6165" w:rsidP="000E6165">
            <w:pPr>
              <w:pStyle w:val="List2"/>
            </w:pPr>
            <w:r w:rsidRPr="000E6165">
              <w:t>3.2.</w:t>
            </w:r>
            <w:r w:rsidRPr="000E6165">
              <w:tab/>
              <w:t>Work is conducted in accordance with workplace environmental guidelines</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9" w:name="O_75563"/>
      <w:bookmarkEnd w:id="9"/>
      <w:r w:rsidRPr="000E6165">
        <w:t>Required Skills and Knowledge</w:t>
      </w:r>
    </w:p>
    <w:tbl>
      <w:tblPr>
        <w:tblW w:w="0" w:type="auto"/>
        <w:tblLayout w:type="fixed"/>
        <w:tblCellMar>
          <w:left w:w="62" w:type="dxa"/>
          <w:right w:w="62" w:type="dxa"/>
        </w:tblCellMar>
        <w:tblLook w:val="0000"/>
      </w:tblPr>
      <w:tblGrid>
        <w:gridCol w:w="8522"/>
      </w:tblGrid>
      <w:tr w:rsidTr="003C3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REQUIRED SKILLS AND KNOWLEDGE</w:t>
            </w:r>
          </w:p>
        </w:tc>
      </w:tr>
      <w:tr w:rsidTr="003C3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t>This section describes the skills and knowledge required for this unit.</w:t>
            </w:r>
          </w:p>
        </w:tc>
      </w:tr>
      <w:tr w:rsidTr="003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Required skills</w:t>
            </w:r>
          </w:p>
        </w:tc>
      </w:tr>
      <w:tr w:rsidTr="003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rPr>
                <w:rStyle w:val="BoldandItalics"/>
              </w:rPr>
              <w:t>Ability to</w:t>
            </w:r>
            <w:r w:rsidRPr="000E6165">
              <w:t>:</w:t>
            </w:r>
          </w:p>
          <w:p w:rsidR="00000000" w:rsidRPr="000E6165" w:rsidP="000E6165">
            <w:pPr>
              <w:pStyle w:val="ListBullet"/>
            </w:pPr>
            <w:r w:rsidRPr="000E6165">
              <w:t xml:space="preserve">access workplace information to identify pumping requirements </w:t>
            </w:r>
          </w:p>
          <w:p w:rsidR="00000000" w:rsidRPr="000E6165" w:rsidP="000E6165">
            <w:pPr>
              <w:pStyle w:val="ListBullet"/>
            </w:pPr>
            <w:r w:rsidRPr="000E6165">
              <w:t>select, fit and use personal protective clothing and/or equipment</w:t>
            </w:r>
          </w:p>
          <w:p w:rsidR="00000000" w:rsidRPr="000E6165" w:rsidP="000E6165">
            <w:pPr>
              <w:pStyle w:val="ListBullet"/>
            </w:pPr>
            <w:r w:rsidRPr="000E6165">
              <w:t>confirm supply of materials to be pumped and necessary services</w:t>
            </w:r>
          </w:p>
          <w:p w:rsidR="00000000" w:rsidRPr="000E6165" w:rsidP="000E6165">
            <w:pPr>
              <w:pStyle w:val="ListBullet"/>
            </w:pPr>
            <w:r w:rsidRPr="000E6165">
              <w:t>conduct pre-start checks, such as inspecting pump flanges, gaskets and seals to identify any signs of wear, checking related v</w:t>
            </w:r>
            <w:r w:rsidRPr="000E6165">
              <w:t>alve assemblies to identify any signs of leaks, cancelling isolation or lockouts as required (where pumps have variable settings, this involves selecting appropriate settings and confirming that related pipework is correctly configured for pumping requirem</w:t>
            </w:r>
            <w:r w:rsidRPr="000E6165">
              <w:t>ents)</w:t>
            </w:r>
          </w:p>
          <w:p w:rsidR="00000000" w:rsidRPr="000E6165" w:rsidP="000E6165">
            <w:pPr>
              <w:pStyle w:val="ListBullet"/>
            </w:pPr>
            <w:r w:rsidRPr="000E6165">
              <w:t>monitor and adjust pump operation as required, such as identifying variation in amperage and adjusting pump speeds/flow rates to meet pumping requirements</w:t>
            </w:r>
          </w:p>
          <w:p w:rsidR="00000000" w:rsidRPr="000E6165" w:rsidP="000E6165">
            <w:pPr>
              <w:pStyle w:val="ListBullet"/>
            </w:pPr>
            <w:r w:rsidRPr="000E6165">
              <w:t>monitor supply and flow of materials to and from the pump</w:t>
            </w:r>
          </w:p>
          <w:p w:rsidR="00000000" w:rsidRPr="000E6165" w:rsidP="000E6165">
            <w:pPr>
              <w:pStyle w:val="ListBullet"/>
            </w:pPr>
            <w:r w:rsidRPr="000E6165">
              <w:t>follow isolation and lock out/tag out</w:t>
            </w:r>
            <w:r w:rsidRPr="000E6165">
              <w:t xml:space="preserve"> procedures as required to take pumps and related equipment off-line in preparation for cleaning and/or maintenance within level of responsibility (preparation of equipment may include flushing or pigging related lines and pipework, and removal of faceplat</w:t>
            </w:r>
            <w:r w:rsidRPr="000E6165">
              <w:t>e)</w:t>
            </w:r>
          </w:p>
          <w:p w:rsidR="00000000" w:rsidRPr="000E6165" w:rsidP="000E6165">
            <w:pPr>
              <w:pStyle w:val="ListBullet"/>
            </w:pPr>
            <w:r w:rsidRPr="000E6165">
              <w:t>respond to and/or report pump equipment failure within level of responsibility</w:t>
            </w:r>
          </w:p>
          <w:p w:rsidR="00000000" w:rsidRPr="000E6165" w:rsidP="000E6165">
            <w:pPr>
              <w:pStyle w:val="ListBullet"/>
            </w:pPr>
            <w:r w:rsidRPr="000E6165">
              <w:t>locate stop and reset functions on pumps</w:t>
            </w:r>
          </w:p>
          <w:p w:rsidR="00000000" w:rsidRPr="000E6165" w:rsidP="000E6165">
            <w:pPr>
              <w:pStyle w:val="ListBullet"/>
            </w:pPr>
            <w:r w:rsidRPr="000E6165">
              <w:t>maintain work area to meet housekeeping standards</w:t>
            </w:r>
          </w:p>
          <w:p w:rsidR="00000000" w:rsidRPr="000E6165" w:rsidP="000E6165">
            <w:pPr>
              <w:pStyle w:val="ListBullet"/>
            </w:pPr>
            <w:r w:rsidRPr="000E6165">
              <w:t>operate pumps using process control systems according to enterprise procedures</w:t>
            </w:r>
          </w:p>
          <w:p w:rsidR="00000000" w:rsidRPr="000E6165" w:rsidP="000E6165">
            <w:pPr>
              <w:pStyle w:val="ListBullet"/>
            </w:pPr>
            <w:r w:rsidRPr="000E6165">
              <w:t>cond</w:t>
            </w:r>
            <w:r w:rsidRPr="000E6165">
              <w:t>uct routine pump maintenance according to enterprise procedures</w:t>
            </w:r>
          </w:p>
          <w:p w:rsidR="00000000" w:rsidRPr="000E6165" w:rsidP="000E6165">
            <w:pPr>
              <w:pStyle w:val="ListBullet"/>
            </w:pPr>
            <w:r w:rsidRPr="000E6165">
              <w:t xml:space="preserve">clean pumps and related equipment according to enterprise procedures </w:t>
            </w:r>
          </w:p>
          <w:p w:rsidR="00000000" w:rsidRPr="000E6165" w:rsidP="000E6165">
            <w:pPr>
              <w:pStyle w:val="ListBullet"/>
            </w:pPr>
            <w:r w:rsidRPr="000E6165">
              <w:t>use oral communication skills/language competence to fulfil the job role as specified by the organisation, including quest</w:t>
            </w:r>
            <w:r w:rsidRPr="000E6165">
              <w:t>ioning, active listening, asking for clarification and seeking advice from supervisor</w:t>
            </w:r>
          </w:p>
          <w:p w:rsidR="00000000" w:rsidP="000E6165">
            <w:pPr>
              <w:pStyle w:val="ListBullet"/>
              <w:rPr>
                <w:lang w:val="en-NZ"/>
              </w:rPr>
            </w:pPr>
            <w:r w:rsidRPr="000E6165">
              <w:t>work cooperatively within a culturally diverse workforce</w:t>
            </w:r>
          </w:p>
        </w:tc>
      </w:tr>
      <w:tr w:rsidTr="003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Required knowledge</w:t>
            </w:r>
          </w:p>
        </w:tc>
      </w:tr>
      <w:tr w:rsidTr="003C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rPr>
                <w:rStyle w:val="BoldandItalics"/>
              </w:rPr>
              <w:t>Knowledge of</w:t>
            </w:r>
            <w:r w:rsidRPr="000E6165">
              <w:t>:</w:t>
            </w:r>
          </w:p>
          <w:p w:rsidR="00000000" w:rsidRPr="000E6165" w:rsidP="000E6165">
            <w:pPr>
              <w:pStyle w:val="ListBullet"/>
            </w:pPr>
            <w:r w:rsidRPr="000E6165">
              <w:t>basic operating principles of pumps and related equipment, including main pump components, status and purpose of guards, pump system configuration, including valves, taps and pipework</w:t>
            </w:r>
          </w:p>
          <w:p w:rsidR="00000000" w:rsidRPr="000E6165" w:rsidP="000E6165">
            <w:pPr>
              <w:pStyle w:val="ListBullet"/>
            </w:pPr>
            <w:r w:rsidRPr="000E6165">
              <w:t xml:space="preserve">the effect of pumping system design on operating performance, including </w:t>
            </w:r>
            <w:r w:rsidRPr="000E6165">
              <w:t>flow resistance, pressure and head</w:t>
            </w:r>
          </w:p>
          <w:p w:rsidR="00000000" w:rsidRPr="000E6165" w:rsidP="000E6165">
            <w:pPr>
              <w:pStyle w:val="ListBullet"/>
            </w:pPr>
            <w:r w:rsidRPr="000E6165">
              <w:t>operating capacities of pumps used in the work area, including different pump types as required to perform pumping operations where relevant</w:t>
            </w:r>
          </w:p>
          <w:p w:rsidR="00000000" w:rsidRPr="000E6165" w:rsidP="000E6165">
            <w:pPr>
              <w:pStyle w:val="ListBullet"/>
            </w:pPr>
            <w:r w:rsidRPr="000E6165">
              <w:t xml:space="preserve">effect of raw material characteristics on pump performance, including variables </w:t>
            </w:r>
            <w:r w:rsidRPr="000E6165">
              <w:t xml:space="preserve">such as soluble solids, temperature and viscosity </w:t>
            </w:r>
          </w:p>
          <w:p w:rsidR="00000000" w:rsidRPr="000E6165" w:rsidP="000E6165">
            <w:pPr>
              <w:pStyle w:val="ListBullet"/>
            </w:pPr>
            <w:r w:rsidRPr="000E6165">
              <w:t>effect of pump operating parameters on product/materials pumped</w:t>
            </w:r>
          </w:p>
          <w:p w:rsidR="00000000" w:rsidRPr="000E6165" w:rsidP="000E6165">
            <w:pPr>
              <w:pStyle w:val="ListBullet"/>
            </w:pPr>
            <w:r w:rsidRPr="000E6165">
              <w:t>corrective action required where pump operation is outside specified operating parameters</w:t>
            </w:r>
          </w:p>
          <w:p w:rsidR="00000000" w:rsidRPr="000E6165" w:rsidP="000E6165">
            <w:pPr>
              <w:pStyle w:val="ListBullet"/>
            </w:pPr>
            <w:r w:rsidRPr="000E6165">
              <w:t>typical equipment faults and related causes, includ</w:t>
            </w:r>
            <w:r w:rsidRPr="000E6165">
              <w:t>ing signs and symptoms of faulty equipment and early warning signs of potential problems</w:t>
            </w:r>
          </w:p>
          <w:p w:rsidR="00000000" w:rsidRPr="000E6165" w:rsidP="000E6165">
            <w:pPr>
              <w:pStyle w:val="ListBullet"/>
            </w:pPr>
            <w:r w:rsidRPr="000E6165">
              <w:t>services required</w:t>
            </w:r>
          </w:p>
          <w:p w:rsidR="00000000" w:rsidRPr="000E6165" w:rsidP="000E6165">
            <w:pPr>
              <w:pStyle w:val="ListBullet"/>
            </w:pPr>
            <w:r w:rsidRPr="000E6165">
              <w:t>isolation, lock out and tag out procedures and responsibilities</w:t>
            </w:r>
          </w:p>
          <w:p w:rsidR="00000000" w:rsidRPr="000E6165" w:rsidP="000E6165">
            <w:pPr>
              <w:pStyle w:val="ListBullet"/>
            </w:pPr>
            <w:r w:rsidRPr="000E6165">
              <w:t>operational health and safety (OHS) hazards and controls</w:t>
            </w:r>
          </w:p>
          <w:p w:rsidR="00000000" w:rsidRPr="000E6165" w:rsidP="000E6165">
            <w:pPr>
              <w:pStyle w:val="ListBullet"/>
            </w:pPr>
            <w:r w:rsidRPr="000E6165">
              <w:t>procedures and responsibilit</w:t>
            </w:r>
            <w:r w:rsidRPr="000E6165">
              <w:t>y for reporting problems</w:t>
            </w:r>
          </w:p>
          <w:p w:rsidR="00000000" w:rsidRPr="000E6165" w:rsidP="000E6165">
            <w:pPr>
              <w:pStyle w:val="ListBullet"/>
            </w:pPr>
            <w:r w:rsidRPr="000E6165">
              <w:t>environmental issues and controls, including action required in the event of significant leaks or spills</w:t>
            </w:r>
          </w:p>
          <w:p w:rsidR="00000000" w:rsidRPr="000E6165" w:rsidP="000E6165">
            <w:pPr>
              <w:pStyle w:val="ListBullet"/>
            </w:pPr>
            <w:r w:rsidRPr="000E6165">
              <w:t xml:space="preserve">basic operating principles of process control where relevant, including the relationship between control panels and systems and the physical equipment </w:t>
            </w:r>
          </w:p>
          <w:p w:rsidR="00000000" w:rsidRPr="000E6165" w:rsidP="000E6165">
            <w:pPr>
              <w:pStyle w:val="ListBullet"/>
            </w:pPr>
            <w:r w:rsidRPr="000E6165">
              <w:t>routine pump maintenance requirements and procedureswhere relevant</w:t>
            </w:r>
          </w:p>
          <w:p w:rsidR="00000000" w:rsidRPr="000E6165" w:rsidP="000E6165">
            <w:pPr>
              <w:pStyle w:val="ListBullet"/>
            </w:pPr>
            <w:r w:rsidRPr="000E6165">
              <w:t>cleaning procedureswhere relevant</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10" w:name="O_75564"/>
      <w:bookmarkEnd w:id="10"/>
      <w:r w:rsidRPr="000E6165">
        <w:t>Evidence Guide</w:t>
      </w:r>
    </w:p>
    <w:tbl>
      <w:tblPr>
        <w:tblW w:w="9570" w:type="dxa"/>
        <w:tblLayout w:type="fixed"/>
        <w:tblCellMar>
          <w:left w:w="62" w:type="dxa"/>
          <w:right w:w="62" w:type="dxa"/>
        </w:tblCellMar>
        <w:tblLook w:val="0000"/>
      </w:tblPr>
      <w:tblGrid>
        <w:gridCol w:w="3908"/>
        <w:gridCol w:w="5662"/>
      </w:tblGrid>
      <w:tr w:rsidTr="003C3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EVIDENCE GUIDE</w:t>
            </w:r>
          </w:p>
        </w:tc>
      </w:tr>
      <w:tr w:rsidTr="003C3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t>The Evidence Guide provides advice on assessment and must be read in conjunction with the performance criteria, required skills and knowledge, range statement and the</w:t>
            </w:r>
            <w:r w:rsidRPr="000E6165">
              <w:t xml:space="preserve"> Assessment Guidelines for the Training Package.</w:t>
            </w:r>
          </w:p>
        </w:tc>
      </w:tr>
      <w:tr w:rsidTr="003C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t>Assessment must be carried out in a manner that recognises the cultural and literacy requirements of the assessee and is appropriate to the work performed. Competence in this unit mu</w:t>
            </w:r>
            <w:r w:rsidRPr="000E6165">
              <w:t>st be achieved in accordance with food safety standards and regulations.</w:t>
            </w:r>
          </w:p>
        </w:tc>
      </w:tr>
      <w:tr w:rsidTr="003C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Evidence of ability to:</w:t>
            </w:r>
          </w:p>
          <w:p w:rsidR="00000000" w:rsidRPr="000E6165" w:rsidP="000E6165">
            <w:pPr>
              <w:pStyle w:val="ListBullet"/>
            </w:pPr>
            <w:r w:rsidRPr="000E6165">
              <w:t>conduct pre-start checks on pumps</w:t>
            </w:r>
          </w:p>
          <w:p w:rsidR="00000000" w:rsidRPr="000E6165" w:rsidP="000E6165">
            <w:pPr>
              <w:pStyle w:val="ListBullet"/>
            </w:pPr>
            <w:r w:rsidRPr="000E6165">
              <w:t>start, operate, monitor and adjust pumps to achieve required quality outcomes</w:t>
            </w:r>
          </w:p>
          <w:p w:rsidR="00000000" w:rsidRPr="000E6165" w:rsidP="000E6165">
            <w:pPr>
              <w:pStyle w:val="ListBullet"/>
            </w:pPr>
            <w:r w:rsidRPr="000E6165">
              <w:t>take corrective action in response to typical faults and inconsistencies</w:t>
            </w:r>
          </w:p>
          <w:p w:rsidR="00000000" w:rsidRPr="000E6165" w:rsidP="000E6165">
            <w:pPr>
              <w:pStyle w:val="ListBullet"/>
            </w:pPr>
            <w:r w:rsidRPr="000E6165">
              <w:t>complete workplace records as required</w:t>
            </w:r>
          </w:p>
          <w:p w:rsidR="00000000" w:rsidRPr="000E6165" w:rsidP="000E6165">
            <w:pPr>
              <w:pStyle w:val="ListBullet"/>
            </w:pPr>
            <w:r w:rsidRPr="000E6165">
              <w:t>apply safe work practices and identify OHS hazards and controls</w:t>
            </w:r>
          </w:p>
          <w:p w:rsidR="00000000" w:rsidRPr="000E6165" w:rsidP="000E6165">
            <w:pPr>
              <w:pStyle w:val="ListBullet"/>
            </w:pPr>
            <w:r w:rsidRPr="000E6165">
              <w:t>sa</w:t>
            </w:r>
            <w:r w:rsidRPr="000E6165">
              <w:t>fely shut down equipment</w:t>
            </w:r>
          </w:p>
          <w:p w:rsidR="00000000" w:rsidP="000E6165">
            <w:pPr>
              <w:pStyle w:val="ListBullet"/>
              <w:rPr>
                <w:lang w:val="en-NZ"/>
              </w:rPr>
            </w:pPr>
            <w:r w:rsidRPr="000E6165">
              <w:t>apply food safety procedures.</w:t>
            </w:r>
          </w:p>
        </w:tc>
      </w:tr>
      <w:tr w:rsidTr="003C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Assessment must occur in a real or simulated workplace where the assessee has access to:</w:t>
            </w:r>
          </w:p>
          <w:p w:rsidR="00000000" w:rsidRPr="000E6165" w:rsidP="000E6165">
            <w:pPr>
              <w:pStyle w:val="ListBullet"/>
            </w:pPr>
            <w:r w:rsidRPr="000E6165">
              <w:t>personal protective clothing and equipment</w:t>
            </w:r>
          </w:p>
          <w:p w:rsidR="00000000" w:rsidRPr="000E6165" w:rsidP="000E6165">
            <w:pPr>
              <w:pStyle w:val="ListBullet"/>
            </w:pPr>
            <w:r w:rsidRPr="000E6165">
              <w:t>work procedures in</w:t>
            </w:r>
            <w:r w:rsidRPr="000E6165">
              <w:t xml:space="preserve">cluding advice on safe work practices, food safety, quality and environmental requirements </w:t>
            </w:r>
          </w:p>
          <w:p w:rsidR="00000000" w:rsidRPr="000E6165" w:rsidP="000E6165">
            <w:pPr>
              <w:pStyle w:val="ListBullet"/>
            </w:pPr>
            <w:r w:rsidRPr="000E6165">
              <w:t>information on equipment capacity and operating parameters</w:t>
            </w:r>
          </w:p>
          <w:p w:rsidR="00000000" w:rsidRPr="000E6165" w:rsidP="000E6165">
            <w:pPr>
              <w:pStyle w:val="ListBullet"/>
            </w:pPr>
            <w:r w:rsidRPr="000E6165">
              <w:t>pumps, related equipment and services</w:t>
            </w:r>
          </w:p>
          <w:p w:rsidR="00000000" w:rsidRPr="000E6165" w:rsidP="000E6165">
            <w:pPr>
              <w:pStyle w:val="ListBullet"/>
            </w:pPr>
            <w:r w:rsidRPr="000E6165">
              <w:t>materials to be pumped</w:t>
            </w:r>
          </w:p>
          <w:p w:rsidR="00000000" w:rsidRPr="000E6165" w:rsidP="000E6165">
            <w:pPr>
              <w:pStyle w:val="ListBullet"/>
            </w:pPr>
            <w:r w:rsidRPr="000E6165">
              <w:t>routine preventative maintenance schedule as</w:t>
            </w:r>
            <w:r w:rsidRPr="000E6165">
              <w:t xml:space="preserve"> required</w:t>
            </w:r>
          </w:p>
          <w:p w:rsidR="00000000" w:rsidP="000E6165">
            <w:pPr>
              <w:pStyle w:val="ListBullet"/>
              <w:rPr>
                <w:lang w:val="en-NZ"/>
              </w:rPr>
            </w:pPr>
            <w:r w:rsidRPr="000E6165">
              <w:t>cleaning procedures, materials and equipment as required.</w:t>
            </w:r>
          </w:p>
        </w:tc>
      </w:tr>
      <w:tr w:rsidTr="003C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This unit should be assessed together with core units and other units of competency relevant to the function or work role. Examples could be:</w:t>
            </w:r>
          </w:p>
          <w:p w:rsidR="00000000" w:rsidRPr="000E6165" w:rsidP="000E6165">
            <w:pPr>
              <w:pStyle w:val="ListBullet"/>
            </w:pPr>
            <w:r w:rsidRPr="000E6165">
              <w:t>FDFOP2004A Clean and sanitise equipment FDFOP2008A Operate a bulk liquid transfer process</w:t>
            </w:r>
          </w:p>
          <w:p w:rsidR="00000000" w:rsidRPr="000E6165" w:rsidP="000E6165">
            <w:pPr>
              <w:pStyle w:val="ListBullet"/>
            </w:pPr>
            <w:r w:rsidRPr="000E6165">
              <w:t>FDFOP2011A Conduct routine maintenance</w:t>
            </w:r>
          </w:p>
          <w:p w:rsidR="00000000" w:rsidP="000E6165">
            <w:pPr>
              <w:pStyle w:val="ListBullet"/>
              <w:rPr>
                <w:lang w:val="en-NZ"/>
              </w:rPr>
            </w:pPr>
            <w:r w:rsidRPr="000E6165">
              <w:t>FDFOP2030A Operate a process control interface.</w:t>
            </w:r>
          </w:p>
        </w:tc>
      </w:tr>
      <w:tr w:rsidTr="003C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To ensure consistency in one's performance</w:t>
            </w:r>
            <w:r w:rsidRPr="000E6165">
              <w:t>, competency should be demonstrated on more than one occasion over a period of time in order to cover a variety of circumstances, cases and responsibilities, and where possible, over a number of assessment activities.</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11" w:name="O_75565"/>
      <w:bookmarkEnd w:id="11"/>
      <w:r w:rsidRPr="000E6165">
        <w:t>Range Statement</w:t>
      </w:r>
    </w:p>
    <w:tbl>
      <w:tblPr>
        <w:tblW w:w="0" w:type="auto"/>
        <w:tblLayout w:type="fixed"/>
        <w:tblCellMar>
          <w:left w:w="62" w:type="dxa"/>
          <w:right w:w="62" w:type="dxa"/>
        </w:tblCellMar>
        <w:tblLook w:val="0000"/>
      </w:tblPr>
      <w:tblGrid>
        <w:gridCol w:w="3482"/>
        <w:gridCol w:w="5040"/>
      </w:tblGrid>
      <w:tr w:rsidTr="003C3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RANGE STATEMENT</w:t>
            </w:r>
          </w:p>
        </w:tc>
      </w:tr>
      <w:tr w:rsidTr="003C3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t>The range statement relates to the unit of competency as a whole. It allows for different work environments and situations that may affect performance. Bold italicised wording, if used in the performance criteria, is detailed below. Essen</w:t>
            </w:r>
            <w:r w:rsidRPr="000E6165">
              <w:t>tial operating conditions that may be present with training and assessment (depending on the work situation, needs of the candidate, accessibility of the item, and local industry and regional contexts) may also be included.</w:t>
            </w:r>
          </w:p>
        </w:tc>
      </w:tr>
      <w:tr w:rsidTr="003C3C4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t>Work i</w:t>
            </w:r>
            <w:r w:rsidRPr="000E6165">
              <w:t>s carried out according to company policies and procedures, regulatory and licensing requirements, legislative requirements, and industrial awards and agreements</w:t>
            </w:r>
          </w:p>
        </w:tc>
      </w:tr>
      <w:tr w:rsidTr="003C3C4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Workplace information may include:</w:t>
            </w:r>
          </w:p>
          <w:p w:rsidR="00000000" w:rsidRPr="000E6165" w:rsidP="000E6165">
            <w:pPr>
              <w:pStyle w:val="ListBullet"/>
            </w:pPr>
            <w:r w:rsidRPr="000E6165">
              <w:t>standard operating procedures (SOPs)</w:t>
            </w:r>
          </w:p>
          <w:p w:rsidR="00000000" w:rsidRPr="000E6165" w:rsidP="000E6165">
            <w:pPr>
              <w:pStyle w:val="ListBullet"/>
            </w:pPr>
            <w:r w:rsidRPr="000E6165">
              <w:t>specifications</w:t>
            </w:r>
          </w:p>
          <w:p w:rsidR="00000000" w:rsidRPr="000E6165" w:rsidP="000E6165">
            <w:pPr>
              <w:pStyle w:val="ListBullet"/>
            </w:pPr>
            <w:r w:rsidRPr="000E6165">
              <w:t>production schedules and instructions</w:t>
            </w:r>
          </w:p>
          <w:p w:rsidR="00000000" w:rsidRPr="000E6165" w:rsidP="000E6165">
            <w:pPr>
              <w:pStyle w:val="ListBullet"/>
            </w:pPr>
            <w:r w:rsidRPr="000E6165">
              <w:t>manufacturers' advice</w:t>
            </w:r>
          </w:p>
          <w:p w:rsidR="00000000" w:rsidP="000E6165">
            <w:pPr>
              <w:pStyle w:val="ListBullet"/>
              <w:rPr>
                <w:lang w:val="en-NZ"/>
              </w:rPr>
            </w:pPr>
            <w:r w:rsidRPr="000E6165">
              <w:t xml:space="preserve">standard forms and reports </w:t>
            </w:r>
          </w:p>
        </w:tc>
      </w:tr>
      <w:tr w:rsidTr="003C3C4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Pumps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Pumps may include but are not limited to:</w:t>
            </w:r>
          </w:p>
          <w:p w:rsidR="00000000" w:rsidRPr="000E6165" w:rsidP="000E6165">
            <w:pPr>
              <w:pStyle w:val="ListBullet"/>
            </w:pPr>
            <w:r w:rsidRPr="000E6165">
              <w:t>centrifugal pumps</w:t>
            </w:r>
          </w:p>
          <w:p w:rsidR="00000000" w:rsidRPr="000E6165" w:rsidP="000E6165">
            <w:pPr>
              <w:pStyle w:val="ListBullet"/>
            </w:pPr>
            <w:r w:rsidRPr="000E6165">
              <w:t>reciprocating or positive displacement pumps</w:t>
            </w:r>
          </w:p>
          <w:p w:rsidR="00000000" w:rsidRPr="000E6165" w:rsidP="000E6165">
            <w:pPr>
              <w:pStyle w:val="ListBullet"/>
            </w:pPr>
            <w:r w:rsidRPr="000E6165">
              <w:t>dia</w:t>
            </w:r>
            <w:r w:rsidRPr="000E6165">
              <w:t>phragm pumps</w:t>
            </w:r>
          </w:p>
          <w:p w:rsidR="00000000" w:rsidRPr="000E6165" w:rsidP="000E6165">
            <w:pPr>
              <w:pStyle w:val="ListBullet"/>
            </w:pPr>
            <w:r w:rsidRPr="000E6165">
              <w:t xml:space="preserve">helical screw pumps </w:t>
            </w:r>
          </w:p>
          <w:p w:rsidR="00000000" w:rsidP="000E6165">
            <w:pPr>
              <w:pStyle w:val="ListBullet"/>
              <w:rPr>
                <w:lang w:val="en-NZ"/>
              </w:rPr>
            </w:pPr>
            <w:r w:rsidRPr="000E6165">
              <w:t>electrical submersible pumps</w:t>
            </w:r>
          </w:p>
        </w:tc>
      </w:tr>
      <w:tr w:rsidTr="003C3C4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Related 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Related equipment may include:</w:t>
            </w:r>
          </w:p>
          <w:p w:rsidR="00000000" w:rsidRPr="000E6165" w:rsidP="000E6165">
            <w:pPr>
              <w:pStyle w:val="ListBullet"/>
            </w:pPr>
            <w:r w:rsidRPr="000E6165">
              <w:t>valves</w:t>
            </w:r>
          </w:p>
          <w:p w:rsidR="00000000" w:rsidRPr="000E6165" w:rsidP="000E6165">
            <w:pPr>
              <w:pStyle w:val="ListBullet"/>
            </w:pPr>
            <w:r w:rsidRPr="000E6165">
              <w:t>gauges</w:t>
            </w:r>
          </w:p>
          <w:p w:rsidR="00000000" w:rsidRPr="000E6165" w:rsidP="000E6165">
            <w:pPr>
              <w:pStyle w:val="ListBullet"/>
            </w:pPr>
            <w:r w:rsidRPr="000E6165">
              <w:t>flow meters</w:t>
            </w:r>
          </w:p>
          <w:p w:rsidR="00000000" w:rsidRPr="000E6165" w:rsidP="000E6165">
            <w:pPr>
              <w:pStyle w:val="ListBullet"/>
            </w:pPr>
            <w:r w:rsidRPr="000E6165">
              <w:t>pipework</w:t>
            </w:r>
          </w:p>
          <w:p w:rsidR="00000000" w:rsidRPr="000E6165" w:rsidP="000E6165">
            <w:pPr>
              <w:pStyle w:val="ListBullet"/>
            </w:pPr>
            <w:r w:rsidRPr="000E6165">
              <w:t>screens</w:t>
            </w:r>
          </w:p>
          <w:p w:rsidR="00000000" w:rsidP="000E6165">
            <w:pPr>
              <w:pStyle w:val="ListBullet"/>
              <w:rPr>
                <w:lang w:val="en-NZ"/>
              </w:rPr>
            </w:pPr>
            <w:r w:rsidRPr="000E6165">
              <w:t xml:space="preserve">filters </w:t>
            </w:r>
          </w:p>
        </w:tc>
      </w:tr>
      <w:tr w:rsidTr="003C3C4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Pump operation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Pump operation may require:</w:t>
            </w:r>
          </w:p>
          <w:p w:rsidR="00000000" w:rsidRPr="000E6165" w:rsidP="000E6165">
            <w:pPr>
              <w:pStyle w:val="ListBullet"/>
            </w:pPr>
            <w:r w:rsidRPr="000E6165">
              <w:t>the use of process control screens and systems</w:t>
            </w:r>
          </w:p>
        </w:tc>
      </w:tr>
    </w:tbl>
    <w:p w:rsidR="003C3C4A" w:rsidP="000E6165">
      <w:pPr>
        <w:pStyle w:val="BodyText"/>
      </w:pPr>
    </w:p>
    <w:p w:rsidR="003C3C4A" w:rsidP="000E6165">
      <w:pPr>
        <w:pStyle w:val="BodyText"/>
      </w:pPr>
    </w:p>
    <w:p w:rsidR="00000000" w:rsidRPr="000E6165" w:rsidP="000E6165">
      <w:pPr>
        <w:pStyle w:val="Heading1"/>
      </w:pPr>
      <w:bookmarkStart w:id="12" w:name="O_75566"/>
      <w:bookmarkEnd w:id="12"/>
      <w:r w:rsidRPr="000E6165">
        <w:t>Unit Sector(s)</w:t>
      </w:r>
    </w:p>
    <w:tbl>
      <w:tblPr>
        <w:tblW w:w="0" w:type="auto"/>
        <w:tblLayout w:type="fixed"/>
        <w:tblCellMar>
          <w:left w:w="62" w:type="dxa"/>
          <w:right w:w="62" w:type="dxa"/>
        </w:tblCellMar>
        <w:tblLook w:val="0000"/>
      </w:tblPr>
      <w:tblGrid>
        <w:gridCol w:w="2606"/>
        <w:gridCol w:w="5916"/>
      </w:tblGrid>
      <w:tr w:rsidTr="003C3C4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r w:rsidRPr="000E6165">
              <w:t>Operational</w:t>
            </w: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13" w:name="O_155835"/>
      <w:bookmarkEnd w:id="13"/>
      <w:r w:rsidRPr="000E6165">
        <w:t>Competency field</w:t>
      </w:r>
    </w:p>
    <w:tbl>
      <w:tblPr>
        <w:tblW w:w="0" w:type="auto"/>
        <w:tblLayout w:type="fixed"/>
        <w:tblCellMar>
          <w:left w:w="62" w:type="dxa"/>
          <w:right w:w="62" w:type="dxa"/>
        </w:tblCellMar>
        <w:tblLook w:val="0000"/>
      </w:tblPr>
      <w:tblGrid>
        <w:gridCol w:w="2784"/>
        <w:gridCol w:w="5738"/>
      </w:tblGrid>
      <w:tr w:rsidTr="003C3C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p>
        </w:tc>
      </w:tr>
    </w:tbl>
    <w:p w:rsidR="00000000" w:rsidRPr="000E6165" w:rsidP="000E6165">
      <w:pPr>
        <w:pStyle w:val="BodyText"/>
      </w:pPr>
    </w:p>
    <w:p w:rsidR="00000000" w:rsidRPr="000E6165" w:rsidP="000E6165">
      <w:pPr>
        <w:pStyle w:val="AllowPageBreak"/>
      </w:pPr>
    </w:p>
    <w:p w:rsidR="00000000" w:rsidRPr="000E6165" w:rsidP="000E6165">
      <w:pPr>
        <w:pStyle w:val="Heading1"/>
      </w:pPr>
      <w:bookmarkStart w:id="14" w:name="O_155834"/>
      <w:bookmarkEnd w:id="14"/>
      <w:r w:rsidRPr="000E6165">
        <w:t>Co-requisite units</w:t>
      </w:r>
    </w:p>
    <w:tbl>
      <w:tblPr>
        <w:tblW w:w="0" w:type="auto"/>
        <w:tblLayout w:type="fixed"/>
        <w:tblCellMar>
          <w:left w:w="62" w:type="dxa"/>
          <w:right w:w="62" w:type="dxa"/>
        </w:tblCellMar>
        <w:tblLook w:val="0000"/>
      </w:tblPr>
      <w:tblGrid>
        <w:gridCol w:w="2641"/>
        <w:gridCol w:w="1322"/>
        <w:gridCol w:w="4559"/>
      </w:tblGrid>
      <w:tr w:rsidTr="003C3C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r w:rsidRPr="000E61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p>
        </w:tc>
      </w:tr>
      <w:tr w:rsidTr="003C3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165">
            <w:pPr>
              <w:pStyle w:val="BodyText"/>
              <w:rPr>
                <w:lang w:val="en-NZ"/>
              </w:rPr>
            </w:pPr>
          </w:p>
        </w:tc>
      </w:tr>
      <w:tr w:rsidTr="003C3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165" w:rsidP="000E6165">
            <w:pPr>
              <w:pStyle w:val="BodyText"/>
            </w:pPr>
          </w:p>
        </w:tc>
      </w:tr>
    </w:tbl>
    <w:p w:rsidR="00000000" w:rsidRPr="000E6165" w:rsidP="000E6165">
      <w:pPr>
        <w:pStyle w:val="BodyText"/>
      </w:pPr>
    </w:p>
    <w:p w:rsidR="00000000" w:rsidRPr="000E6165" w:rsidP="000E6165"/>
    <w:sectPr w:rsidSect="000E61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C4A" w:rsidP="003C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4A" w:rsidP="000E6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3C4A" w:rsidP="000E61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3C4A" w:rsidP="000E61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C4A" w:rsidP="003C3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4A" w:rsidP="000E6165">
    <w:pPr>
      <w:pStyle w:val="Header"/>
      <w:framePr w:wrap="around"/>
    </w:pPr>
    <w:r>
      <w:fldChar w:fldCharType="begin"/>
    </w:r>
    <w:r>
      <w:instrText xml:space="preserve"> TITLE   \* MERGEFORMAT </w:instrText>
    </w:r>
    <w:r>
      <w:fldChar w:fldCharType="separate"/>
    </w:r>
    <w:r>
      <w:t>FDFOP2045A Operate pumping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3C4A" w:rsidP="000E61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9A6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FA3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1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165"/>
    <w:pPr>
      <w:spacing w:before="360" w:after="60"/>
      <w:outlineLvl w:val="0"/>
    </w:pPr>
    <w:rPr>
      <w:sz w:val="32"/>
    </w:rPr>
  </w:style>
  <w:style w:type="paragraph" w:styleId="Heading2">
    <w:name w:val="heading 2"/>
    <w:basedOn w:val="HeadingBase"/>
    <w:next w:val="BodyText"/>
    <w:link w:val="Heading2Char"/>
    <w:qFormat/>
    <w:rsid w:val="000E6165"/>
    <w:pPr>
      <w:keepLines/>
      <w:spacing w:before="240" w:after="120"/>
      <w:outlineLvl w:val="1"/>
    </w:pPr>
    <w:rPr>
      <w:sz w:val="28"/>
      <w:szCs w:val="40"/>
    </w:rPr>
  </w:style>
  <w:style w:type="paragraph" w:styleId="Heading3">
    <w:name w:val="heading 3"/>
    <w:basedOn w:val="HeadingBase"/>
    <w:next w:val="BodyText"/>
    <w:link w:val="Heading3Char"/>
    <w:qFormat/>
    <w:rsid w:val="000E6165"/>
    <w:pPr>
      <w:spacing w:before="180" w:after="120"/>
      <w:outlineLvl w:val="2"/>
    </w:pPr>
    <w:rPr>
      <w:spacing w:val="-10"/>
      <w:kern w:val="32"/>
    </w:rPr>
  </w:style>
  <w:style w:type="paragraph" w:styleId="Heading4">
    <w:name w:val="heading 4"/>
    <w:basedOn w:val="HeadingBase"/>
    <w:next w:val="BodyText"/>
    <w:link w:val="Heading4Char"/>
    <w:qFormat/>
    <w:rsid w:val="000E6165"/>
    <w:pPr>
      <w:spacing w:before="160" w:after="120"/>
      <w:outlineLvl w:val="3"/>
    </w:pPr>
    <w:rPr>
      <w:sz w:val="22"/>
    </w:rPr>
  </w:style>
  <w:style w:type="paragraph" w:styleId="Heading5">
    <w:name w:val="heading 5"/>
    <w:basedOn w:val="HeadingBase"/>
    <w:next w:val="Normal"/>
    <w:link w:val="Heading5Char"/>
    <w:qFormat/>
    <w:rsid w:val="000E6165"/>
    <w:pPr>
      <w:spacing w:before="80"/>
      <w:outlineLvl w:val="4"/>
    </w:pPr>
    <w:rPr>
      <w:color w:val="918585"/>
      <w:sz w:val="20"/>
    </w:rPr>
  </w:style>
  <w:style w:type="paragraph" w:styleId="Heading6">
    <w:name w:val="heading 6"/>
    <w:basedOn w:val="HeadingBase"/>
    <w:next w:val="Normal"/>
    <w:link w:val="Heading6Char"/>
    <w:qFormat/>
    <w:rsid w:val="000E6165"/>
    <w:pPr>
      <w:spacing w:before="60"/>
      <w:outlineLvl w:val="5"/>
    </w:pPr>
    <w:rPr>
      <w:color w:val="918585"/>
      <w:sz w:val="20"/>
    </w:rPr>
  </w:style>
  <w:style w:type="paragraph" w:styleId="Heading7">
    <w:name w:val="heading 7"/>
    <w:basedOn w:val="Normal"/>
    <w:next w:val="Normal"/>
    <w:link w:val="Heading7Char"/>
    <w:qFormat/>
    <w:rsid w:val="000E6165"/>
    <w:pPr>
      <w:ind w:left="720"/>
      <w:outlineLvl w:val="6"/>
    </w:pPr>
    <w:rPr>
      <w:i/>
    </w:rPr>
  </w:style>
  <w:style w:type="paragraph" w:styleId="Heading8">
    <w:name w:val="heading 8"/>
    <w:basedOn w:val="Normal"/>
    <w:next w:val="Normal"/>
    <w:link w:val="Heading8Char"/>
    <w:qFormat/>
    <w:rsid w:val="000E6165"/>
    <w:pPr>
      <w:ind w:left="720"/>
      <w:outlineLvl w:val="7"/>
    </w:pPr>
    <w:rPr>
      <w:i/>
    </w:rPr>
  </w:style>
  <w:style w:type="paragraph" w:styleId="Heading9">
    <w:name w:val="heading 9"/>
    <w:basedOn w:val="Normal"/>
    <w:next w:val="Normal"/>
    <w:link w:val="Heading9Char"/>
    <w:qFormat/>
    <w:rsid w:val="000E6165"/>
    <w:pPr>
      <w:ind w:left="720"/>
      <w:outlineLvl w:val="8"/>
    </w:pPr>
    <w:rPr>
      <w:i/>
    </w:rPr>
  </w:style>
  <w:style w:type="character" w:default="1" w:styleId="DefaultParagraphFont">
    <w:name w:val="Default Paragraph Font"/>
    <w:uiPriority w:val="1"/>
    <w:unhideWhenUsed/>
    <w:rsid w:val="000E6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165"/>
  </w:style>
  <w:style w:type="character" w:customStyle="1" w:styleId="Heading1Char">
    <w:name w:val="Heading 1 Char"/>
    <w:basedOn w:val="DefaultParagraphFont"/>
    <w:link w:val="Heading1"/>
    <w:rsid w:val="000E6165"/>
    <w:rPr>
      <w:rFonts w:ascii="Times New Roman" w:eastAsia="Times New Roman" w:hAnsi="Times New Roman" w:cs="Times New Roman"/>
      <w:b/>
      <w:sz w:val="32"/>
      <w:szCs w:val="20"/>
      <w:lang w:eastAsia="en-US"/>
    </w:rPr>
  </w:style>
  <w:style w:type="paragraph" w:styleId="BodyText">
    <w:name w:val="Body Text"/>
    <w:basedOn w:val="Normal"/>
    <w:link w:val="BodyTextChar"/>
    <w:rsid w:val="000E61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165"/>
    <w:rPr>
      <w:rFonts w:ascii="Times New Roman" w:eastAsia="Times New Roman" w:hAnsi="Times New Roman" w:cs="Times New Roman"/>
      <w:sz w:val="24"/>
      <w:lang w:val="en-US" w:eastAsia="en-US"/>
    </w:rPr>
  </w:style>
  <w:style w:type="paragraph" w:styleId="Footer">
    <w:name w:val="footer"/>
    <w:basedOn w:val="Normal"/>
    <w:link w:val="FooterChar"/>
    <w:rsid w:val="000E6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165"/>
    <w:rPr>
      <w:rFonts w:ascii="Times New Roman" w:eastAsia="Times New Roman" w:hAnsi="Times New Roman" w:cs="Times New Roman"/>
      <w:sz w:val="16"/>
      <w:lang w:val="en-US" w:eastAsia="en-US"/>
    </w:rPr>
  </w:style>
  <w:style w:type="paragraph" w:styleId="List">
    <w:name w:val="List"/>
    <w:basedOn w:val="BodyText"/>
    <w:next w:val="BodyText"/>
    <w:rsid w:val="000E6165"/>
    <w:pPr>
      <w:tabs>
        <w:tab w:val="left" w:pos="340"/>
      </w:tabs>
      <w:spacing w:before="60" w:after="60"/>
      <w:ind w:left="340" w:hanging="340"/>
    </w:pPr>
  </w:style>
  <w:style w:type="paragraph" w:styleId="ListBullet">
    <w:name w:val="List Bullet"/>
    <w:basedOn w:val="List"/>
    <w:rsid w:val="000E6165"/>
    <w:pPr>
      <w:numPr>
        <w:numId w:val="12"/>
      </w:numPr>
      <w:tabs>
        <w:tab w:val="clear" w:pos="340"/>
      </w:tabs>
      <w:spacing w:before="40" w:after="40"/>
    </w:pPr>
  </w:style>
  <w:style w:type="character" w:customStyle="1" w:styleId="SpecialBold">
    <w:name w:val="Special Bold"/>
    <w:basedOn w:val="DefaultParagraphFont"/>
    <w:rsid w:val="000E6165"/>
    <w:rPr>
      <w:b/>
      <w:spacing w:val="0"/>
    </w:rPr>
  </w:style>
  <w:style w:type="paragraph" w:styleId="Header">
    <w:name w:val="header"/>
    <w:basedOn w:val="Normal"/>
    <w:link w:val="HeaderChar"/>
    <w:rsid w:val="000E6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1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165"/>
    <w:pPr>
      <w:spacing w:before="240" w:after="120"/>
      <w:outlineLvl w:val="0"/>
    </w:pPr>
    <w:rPr>
      <w:rFonts w:ascii="Times New Roman" w:hAnsi="Times New Roman"/>
      <w:b/>
      <w:sz w:val="28"/>
    </w:rPr>
  </w:style>
  <w:style w:type="paragraph" w:customStyle="1" w:styleId="AllowPageBreak">
    <w:name w:val="AllowPageBreak"/>
    <w:rsid w:val="000E61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165"/>
    <w:pPr>
      <w:tabs>
        <w:tab w:val="left" w:pos="680"/>
      </w:tabs>
      <w:spacing w:before="60" w:after="60"/>
      <w:ind w:left="680" w:hanging="340"/>
    </w:pPr>
  </w:style>
  <w:style w:type="character" w:customStyle="1" w:styleId="BoldandItalics">
    <w:name w:val="Bold and Italics"/>
    <w:qFormat/>
    <w:rsid w:val="000E6165"/>
    <w:rPr>
      <w:b/>
      <w:i/>
      <w:u w:val="none"/>
    </w:rPr>
  </w:style>
  <w:style w:type="character" w:customStyle="1" w:styleId="Heading2Char">
    <w:name w:val="Heading 2 Char"/>
    <w:basedOn w:val="DefaultParagraphFont"/>
    <w:link w:val="Heading2"/>
    <w:rsid w:val="000E6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1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1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165"/>
    <w:rPr>
      <w:rFonts w:ascii="Courier New" w:eastAsia="Times New Roman" w:hAnsi="Courier New" w:cs="Times New Roman"/>
      <w:i/>
      <w:szCs w:val="20"/>
      <w:lang w:val="en-US" w:eastAsia="en-US"/>
    </w:rPr>
  </w:style>
  <w:style w:type="paragraph" w:customStyle="1" w:styleId="HeadingBase">
    <w:name w:val="Heading Base"/>
    <w:rsid w:val="000E6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165"/>
    <w:pPr>
      <w:tabs>
        <w:tab w:val="right" w:leader="dot" w:pos="9072"/>
      </w:tabs>
      <w:ind w:left="567"/>
    </w:pPr>
    <w:rPr>
      <w:szCs w:val="22"/>
    </w:rPr>
  </w:style>
  <w:style w:type="paragraph" w:customStyle="1" w:styleId="TOCBase">
    <w:name w:val="TOC Base"/>
    <w:rsid w:val="000E6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165"/>
    <w:pPr>
      <w:tabs>
        <w:tab w:val="right" w:leader="dot" w:pos="9072"/>
      </w:tabs>
      <w:spacing w:before="40" w:after="40"/>
      <w:ind w:left="284"/>
    </w:pPr>
    <w:rPr>
      <w:rFonts w:ascii="Times New Roman" w:hAnsi="Times New Roman"/>
    </w:rPr>
  </w:style>
  <w:style w:type="paragraph" w:styleId="TOC1">
    <w:name w:val="toc 1"/>
    <w:basedOn w:val="TOCBase"/>
    <w:next w:val="Normal"/>
    <w:rsid w:val="000E61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165"/>
    <w:pPr>
      <w:spacing w:before="5040"/>
      <w:jc w:val="center"/>
    </w:pPr>
    <w:rPr>
      <w:sz w:val="48"/>
      <w:szCs w:val="72"/>
      <w:lang w:val="en-US"/>
    </w:rPr>
  </w:style>
  <w:style w:type="character" w:customStyle="1" w:styleId="TitleChar">
    <w:name w:val="Title Char"/>
    <w:basedOn w:val="DefaultParagraphFont"/>
    <w:link w:val="Title"/>
    <w:rsid w:val="000E6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165"/>
    <w:pPr>
      <w:tabs>
        <w:tab w:val="left" w:pos="3600"/>
        <w:tab w:val="left" w:pos="3958"/>
      </w:tabs>
    </w:pPr>
  </w:style>
  <w:style w:type="paragraph" w:customStyle="1" w:styleId="Note">
    <w:name w:val="Note"/>
    <w:basedOn w:val="BodyText"/>
    <w:rsid w:val="000E6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165"/>
    <w:pPr>
      <w:framePr w:wrap="auto" w:hAnchor="text" w:y="6049"/>
    </w:pPr>
    <w:rPr>
      <w:color w:val="000000"/>
      <w:sz w:val="40"/>
    </w:rPr>
  </w:style>
  <w:style w:type="paragraph" w:customStyle="1" w:styleId="TOCTitle">
    <w:name w:val="TOCTitle"/>
    <w:basedOn w:val="Heading1"/>
    <w:rsid w:val="000E6165"/>
    <w:pPr>
      <w:spacing w:after="240"/>
      <w:jc w:val="center"/>
      <w:outlineLvl w:val="9"/>
    </w:pPr>
    <w:rPr>
      <w:caps/>
    </w:rPr>
  </w:style>
  <w:style w:type="paragraph" w:customStyle="1" w:styleId="Version">
    <w:name w:val="Version"/>
    <w:rsid w:val="000E6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165"/>
    <w:pPr>
      <w:numPr>
        <w:numId w:val="13"/>
      </w:numPr>
      <w:tabs>
        <w:tab w:val="clear" w:pos="680"/>
      </w:tabs>
    </w:pPr>
  </w:style>
  <w:style w:type="paragraph" w:styleId="Index1">
    <w:name w:val="index 1"/>
    <w:basedOn w:val="Normal"/>
    <w:next w:val="Normal"/>
    <w:semiHidden/>
    <w:rsid w:val="000E6165"/>
    <w:pPr>
      <w:keepNext w:val="0"/>
      <w:tabs>
        <w:tab w:val="right" w:pos="4176"/>
      </w:tabs>
      <w:ind w:left="198" w:hanging="198"/>
    </w:pPr>
    <w:rPr>
      <w:rFonts w:ascii="Garamond" w:hAnsi="Garamond"/>
    </w:rPr>
  </w:style>
  <w:style w:type="paragraph" w:styleId="IndexHeading">
    <w:name w:val="index heading"/>
    <w:basedOn w:val="Normal"/>
    <w:next w:val="Index1"/>
    <w:semiHidden/>
    <w:rsid w:val="000E6165"/>
    <w:pPr>
      <w:spacing w:before="120" w:after="120"/>
    </w:pPr>
    <w:rPr>
      <w:rFonts w:ascii="Arial" w:hAnsi="Arial"/>
      <w:b/>
      <w:color w:val="918585"/>
      <w:sz w:val="24"/>
    </w:rPr>
  </w:style>
  <w:style w:type="paragraph" w:customStyle="1" w:styleId="Chapter">
    <w:name w:val="Chapter"/>
    <w:basedOn w:val="Normal"/>
    <w:rsid w:val="000E6165"/>
    <w:pPr>
      <w:spacing w:before="240"/>
    </w:pPr>
    <w:rPr>
      <w:rFonts w:ascii="Times New Roman" w:hAnsi="Times New Roman"/>
      <w:smallCaps/>
      <w:spacing w:val="80"/>
      <w:sz w:val="28"/>
    </w:rPr>
  </w:style>
  <w:style w:type="paragraph" w:customStyle="1" w:styleId="InChapter">
    <w:name w:val="InChapter"/>
    <w:basedOn w:val="Heading3"/>
    <w:rsid w:val="000E6165"/>
    <w:pPr>
      <w:spacing w:after="240"/>
      <w:outlineLvl w:val="9"/>
    </w:pPr>
    <w:rPr>
      <w:noProof/>
    </w:rPr>
  </w:style>
  <w:style w:type="paragraph" w:styleId="Index2">
    <w:name w:val="index 2"/>
    <w:basedOn w:val="Normal"/>
    <w:next w:val="Normal"/>
    <w:semiHidden/>
    <w:rsid w:val="000E6165"/>
    <w:pPr>
      <w:tabs>
        <w:tab w:val="right" w:pos="4176"/>
      </w:tabs>
      <w:ind w:left="568" w:hanging="284"/>
    </w:pPr>
    <w:rPr>
      <w:rFonts w:ascii="Garamond" w:hAnsi="Garamond"/>
    </w:rPr>
  </w:style>
  <w:style w:type="paragraph" w:customStyle="1" w:styleId="Byline">
    <w:name w:val="Byline"/>
    <w:rsid w:val="000E6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165"/>
    <w:pPr>
      <w:tabs>
        <w:tab w:val="clear" w:pos="3600"/>
        <w:tab w:val="clear" w:pos="3958"/>
      </w:tabs>
      <w:jc w:val="right"/>
    </w:pPr>
  </w:style>
  <w:style w:type="character" w:styleId="Emphasis">
    <w:name w:val="Emphasis"/>
    <w:basedOn w:val="DefaultParagraphFont"/>
    <w:qFormat/>
    <w:rsid w:val="000E6165"/>
    <w:rPr>
      <w:i/>
    </w:rPr>
  </w:style>
  <w:style w:type="paragraph" w:styleId="Caption">
    <w:name w:val="caption"/>
    <w:basedOn w:val="BodyText"/>
    <w:next w:val="Normal"/>
    <w:qFormat/>
    <w:rsid w:val="000E6165"/>
    <w:pPr>
      <w:framePr w:w="2268" w:hSpace="181" w:vSpace="181" w:wrap="around" w:vAnchor="text" w:hAnchor="page" w:x="1135" w:y="285" w:anchorLock="1"/>
    </w:pPr>
    <w:rPr>
      <w:i/>
    </w:rPr>
  </w:style>
  <w:style w:type="paragraph" w:customStyle="1" w:styleId="MiniTOCTitle">
    <w:name w:val="MiniTOCTitle"/>
    <w:basedOn w:val="Heading4"/>
    <w:rsid w:val="000E6165"/>
    <w:pPr>
      <w:spacing w:before="240"/>
      <w:outlineLvl w:val="9"/>
    </w:pPr>
    <w:rPr>
      <w:noProof/>
      <w:sz w:val="24"/>
    </w:rPr>
  </w:style>
  <w:style w:type="paragraph" w:customStyle="1" w:styleId="MiniTOCItem">
    <w:name w:val="MiniTOCItem"/>
    <w:basedOn w:val="ListBullet"/>
    <w:rsid w:val="000E6165"/>
    <w:pPr>
      <w:numPr>
        <w:numId w:val="0"/>
      </w:numPr>
      <w:tabs>
        <w:tab w:val="right" w:leader="dot" w:pos="6521"/>
      </w:tabs>
      <w:spacing w:before="0" w:after="0"/>
    </w:pPr>
  </w:style>
  <w:style w:type="paragraph" w:customStyle="1" w:styleId="TOFTitle">
    <w:name w:val="TOFTitle"/>
    <w:basedOn w:val="TOCTitle"/>
    <w:rsid w:val="000E6165"/>
  </w:style>
  <w:style w:type="paragraph" w:styleId="TableofFigures">
    <w:name w:val="table of figures"/>
    <w:basedOn w:val="Normal"/>
    <w:next w:val="Normal"/>
    <w:semiHidden/>
    <w:rsid w:val="000E6165"/>
    <w:pPr>
      <w:tabs>
        <w:tab w:val="right" w:leader="dot" w:pos="9072"/>
      </w:tabs>
      <w:ind w:left="970" w:hanging="403"/>
    </w:pPr>
    <w:rPr>
      <w:rFonts w:ascii="Times New Roman" w:hAnsi="Times New Roman"/>
      <w:b/>
    </w:rPr>
  </w:style>
  <w:style w:type="paragraph" w:styleId="ListNumber">
    <w:name w:val="List Number"/>
    <w:basedOn w:val="List"/>
    <w:rsid w:val="000E6165"/>
    <w:pPr>
      <w:numPr>
        <w:numId w:val="10"/>
      </w:numPr>
    </w:pPr>
  </w:style>
  <w:style w:type="character" w:customStyle="1" w:styleId="WingdingSymbols">
    <w:name w:val="Wingding Symbols"/>
    <w:rsid w:val="000E6165"/>
    <w:rPr>
      <w:rFonts w:ascii="Wingdings" w:hAnsi="Wingdings"/>
    </w:rPr>
  </w:style>
  <w:style w:type="paragraph" w:customStyle="1" w:styleId="TableHeading">
    <w:name w:val="Table Heading"/>
    <w:basedOn w:val="HeadingBase"/>
    <w:rsid w:val="000E6165"/>
    <w:pPr>
      <w:keepLines/>
      <w:pBdr>
        <w:bottom w:val="single" w:sz="6" w:space="1" w:color="918585"/>
      </w:pBdr>
      <w:spacing w:before="240"/>
    </w:pPr>
  </w:style>
  <w:style w:type="character" w:customStyle="1" w:styleId="HotSpot">
    <w:name w:val="HotSpot"/>
    <w:rsid w:val="000E6165"/>
    <w:rPr>
      <w:color w:val="0033CC"/>
      <w:u w:val="none"/>
    </w:rPr>
  </w:style>
  <w:style w:type="paragraph" w:customStyle="1" w:styleId="BodyTextRight">
    <w:name w:val="Body Text Right"/>
    <w:basedOn w:val="BodyText"/>
    <w:rsid w:val="000E6165"/>
    <w:pPr>
      <w:spacing w:before="0" w:after="0"/>
      <w:jc w:val="right"/>
    </w:pPr>
  </w:style>
  <w:style w:type="paragraph" w:styleId="Index3">
    <w:name w:val="index 3"/>
    <w:basedOn w:val="ListNumber2"/>
    <w:next w:val="Normal"/>
    <w:semiHidden/>
    <w:rsid w:val="000E6165"/>
    <w:pPr>
      <w:numPr>
        <w:numId w:val="0"/>
      </w:numPr>
      <w:tabs>
        <w:tab w:val="right" w:leader="dot" w:pos="4176"/>
      </w:tabs>
    </w:pPr>
  </w:style>
  <w:style w:type="paragraph" w:styleId="ListNumber2">
    <w:name w:val="List Number 2"/>
    <w:basedOn w:val="List2"/>
    <w:rsid w:val="000E6165"/>
    <w:pPr>
      <w:numPr>
        <w:numId w:val="9"/>
      </w:numPr>
      <w:tabs>
        <w:tab w:val="clear" w:pos="1060"/>
      </w:tabs>
    </w:pPr>
  </w:style>
  <w:style w:type="paragraph" w:customStyle="1" w:styleId="MarginNote">
    <w:name w:val="Margin Note"/>
    <w:basedOn w:val="BodyText"/>
    <w:rsid w:val="000E6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1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165"/>
    <w:rPr>
      <w:sz w:val="32"/>
    </w:rPr>
  </w:style>
  <w:style w:type="paragraph" w:customStyle="1" w:styleId="HeadingProcedure">
    <w:name w:val="Heading Procedure"/>
    <w:basedOn w:val="HeadingBase"/>
    <w:next w:val="Normal"/>
    <w:rsid w:val="000E6165"/>
    <w:pPr>
      <w:tabs>
        <w:tab w:val="left" w:pos="0"/>
      </w:tabs>
      <w:spacing w:before="120" w:after="60"/>
    </w:pPr>
    <w:rPr>
      <w:i/>
      <w:color w:val="918585"/>
      <w:sz w:val="22"/>
    </w:rPr>
  </w:style>
  <w:style w:type="paragraph" w:customStyle="1" w:styleId="TableBodyText">
    <w:name w:val="Table Body Text"/>
    <w:basedOn w:val="BodyText"/>
    <w:rsid w:val="000E6165"/>
    <w:pPr>
      <w:spacing w:before="60" w:after="60"/>
    </w:pPr>
  </w:style>
  <w:style w:type="paragraph" w:styleId="ListContinue">
    <w:name w:val="List Continue"/>
    <w:basedOn w:val="List"/>
    <w:rsid w:val="000E6165"/>
    <w:pPr>
      <w:ind w:firstLine="0"/>
    </w:pPr>
  </w:style>
  <w:style w:type="paragraph" w:customStyle="1" w:styleId="ListNote">
    <w:name w:val="List Note"/>
    <w:basedOn w:val="List"/>
    <w:rsid w:val="000E6165"/>
    <w:pPr>
      <w:pBdr>
        <w:top w:val="single" w:sz="6" w:space="2" w:color="918585"/>
        <w:bottom w:val="single" w:sz="6" w:space="2" w:color="918585"/>
      </w:pBdr>
      <w:tabs>
        <w:tab w:val="left" w:pos="1021"/>
      </w:tabs>
      <w:ind w:firstLine="0"/>
    </w:pPr>
  </w:style>
  <w:style w:type="paragraph" w:customStyle="1" w:styleId="Warning">
    <w:name w:val="Warning"/>
    <w:basedOn w:val="BodyText"/>
    <w:rsid w:val="000E6165"/>
    <w:pPr>
      <w:shd w:val="clear" w:color="auto" w:fill="D9D9D9"/>
      <w:tabs>
        <w:tab w:val="left" w:pos="992"/>
      </w:tabs>
      <w:ind w:left="119" w:right="119"/>
    </w:pPr>
    <w:rPr>
      <w:sz w:val="20"/>
    </w:rPr>
  </w:style>
  <w:style w:type="paragraph" w:customStyle="1" w:styleId="MarginIcons">
    <w:name w:val="Margin Icons"/>
    <w:basedOn w:val="BodyText"/>
    <w:rsid w:val="000E6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165"/>
    <w:rPr>
      <w:rFonts w:ascii="Courier New" w:hAnsi="Courier New"/>
    </w:rPr>
  </w:style>
  <w:style w:type="paragraph" w:customStyle="1" w:styleId="NoteBullet">
    <w:name w:val="Note Bullet"/>
    <w:basedOn w:val="Note"/>
    <w:rsid w:val="000E6165"/>
    <w:pPr>
      <w:tabs>
        <w:tab w:val="clear" w:pos="680"/>
      </w:tabs>
      <w:spacing w:before="60" w:after="60"/>
    </w:pPr>
  </w:style>
  <w:style w:type="paragraph" w:customStyle="1" w:styleId="SubHeading2">
    <w:name w:val="SubHeading2"/>
    <w:basedOn w:val="HeadingBase"/>
    <w:rsid w:val="000E6165"/>
    <w:pPr>
      <w:spacing w:before="240" w:after="60"/>
    </w:pPr>
    <w:rPr>
      <w:sz w:val="20"/>
    </w:rPr>
  </w:style>
  <w:style w:type="paragraph" w:customStyle="1" w:styleId="SubHeading1">
    <w:name w:val="SubHeading1"/>
    <w:basedOn w:val="HeadingBase"/>
    <w:rsid w:val="000E6165"/>
    <w:pPr>
      <w:spacing w:before="240" w:after="60"/>
    </w:pPr>
    <w:rPr>
      <w:color w:val="918585"/>
      <w:sz w:val="22"/>
    </w:rPr>
  </w:style>
  <w:style w:type="paragraph" w:customStyle="1" w:styleId="SideHeading">
    <w:name w:val="Side Heading"/>
    <w:basedOn w:val="HeadingBase"/>
    <w:rsid w:val="000E6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165"/>
    <w:pPr>
      <w:tabs>
        <w:tab w:val="num" w:pos="360"/>
      </w:tabs>
    </w:pPr>
  </w:style>
  <w:style w:type="paragraph" w:styleId="PlainText">
    <w:name w:val="Plain Text"/>
    <w:basedOn w:val="Normal"/>
    <w:link w:val="PlainTextChar"/>
    <w:rsid w:val="000E6165"/>
    <w:rPr>
      <w:sz w:val="20"/>
    </w:rPr>
  </w:style>
  <w:style w:type="character" w:customStyle="1" w:styleId="PlainTextChar">
    <w:name w:val="Plain Text Char"/>
    <w:basedOn w:val="DefaultParagraphFont"/>
    <w:link w:val="PlainText"/>
    <w:rsid w:val="000E61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165"/>
    <w:rPr>
      <w:b/>
      <w:smallCaps/>
    </w:rPr>
  </w:style>
  <w:style w:type="paragraph" w:customStyle="1" w:styleId="TableListNumber">
    <w:name w:val="Table List Number"/>
    <w:basedOn w:val="ListNumber"/>
    <w:rsid w:val="000E6165"/>
    <w:pPr>
      <w:numPr>
        <w:numId w:val="0"/>
      </w:numPr>
    </w:pPr>
  </w:style>
  <w:style w:type="paragraph" w:styleId="TOC4">
    <w:name w:val="toc 4"/>
    <w:basedOn w:val="TOCBase"/>
    <w:next w:val="Normal"/>
    <w:semiHidden/>
    <w:rsid w:val="000E6165"/>
    <w:pPr>
      <w:tabs>
        <w:tab w:val="right" w:leader="dot" w:pos="9071"/>
      </w:tabs>
      <w:ind w:left="1701"/>
    </w:pPr>
  </w:style>
  <w:style w:type="paragraph" w:customStyle="1" w:styleId="ListAlpha">
    <w:name w:val="List Alpha"/>
    <w:basedOn w:val="List"/>
    <w:rsid w:val="000E6165"/>
    <w:pPr>
      <w:numPr>
        <w:numId w:val="8"/>
      </w:numPr>
    </w:pPr>
  </w:style>
  <w:style w:type="paragraph" w:customStyle="1" w:styleId="ListAlpha2">
    <w:name w:val="List Alpha 2"/>
    <w:basedOn w:val="List2"/>
    <w:rsid w:val="000E6165"/>
    <w:pPr>
      <w:numPr>
        <w:numId w:val="7"/>
      </w:numPr>
    </w:pPr>
  </w:style>
  <w:style w:type="paragraph" w:styleId="List3">
    <w:name w:val="List 3"/>
    <w:basedOn w:val="BodyText"/>
    <w:rsid w:val="000E6165"/>
    <w:pPr>
      <w:tabs>
        <w:tab w:val="left" w:pos="1021"/>
      </w:tabs>
      <w:spacing w:before="60" w:after="60"/>
      <w:ind w:left="1020" w:hanging="340"/>
    </w:pPr>
  </w:style>
  <w:style w:type="paragraph" w:styleId="List4">
    <w:name w:val="List 4"/>
    <w:basedOn w:val="BodyText"/>
    <w:rsid w:val="000E6165"/>
    <w:pPr>
      <w:tabs>
        <w:tab w:val="left" w:pos="1361"/>
      </w:tabs>
      <w:spacing w:before="60" w:after="60"/>
      <w:ind w:left="1361" w:hanging="340"/>
    </w:pPr>
  </w:style>
  <w:style w:type="paragraph" w:styleId="List5">
    <w:name w:val="List 5"/>
    <w:basedOn w:val="BodyText"/>
    <w:rsid w:val="000E6165"/>
    <w:pPr>
      <w:tabs>
        <w:tab w:val="left" w:pos="1701"/>
      </w:tabs>
      <w:spacing w:before="60" w:after="60"/>
      <w:ind w:left="1701" w:hanging="340"/>
    </w:pPr>
  </w:style>
  <w:style w:type="paragraph" w:styleId="ListBullet3">
    <w:name w:val="List Bullet 3"/>
    <w:basedOn w:val="List3"/>
    <w:rsid w:val="000E6165"/>
    <w:pPr>
      <w:numPr>
        <w:numId w:val="14"/>
      </w:numPr>
      <w:tabs>
        <w:tab w:val="clear" w:pos="1021"/>
      </w:tabs>
      <w:ind w:left="1037" w:hanging="357"/>
    </w:pPr>
  </w:style>
  <w:style w:type="paragraph" w:styleId="ListBullet4">
    <w:name w:val="List Bullet 4"/>
    <w:basedOn w:val="List4"/>
    <w:rsid w:val="000E6165"/>
    <w:pPr>
      <w:numPr>
        <w:numId w:val="2"/>
      </w:numPr>
    </w:pPr>
  </w:style>
  <w:style w:type="paragraph" w:styleId="ListBullet5">
    <w:name w:val="List Bullet 5"/>
    <w:basedOn w:val="List5"/>
    <w:rsid w:val="000E6165"/>
    <w:pPr>
      <w:numPr>
        <w:numId w:val="3"/>
      </w:numPr>
    </w:pPr>
  </w:style>
  <w:style w:type="paragraph" w:styleId="ListContinue2">
    <w:name w:val="List Continue 2"/>
    <w:basedOn w:val="List2"/>
    <w:rsid w:val="000E6165"/>
    <w:pPr>
      <w:ind w:firstLine="0"/>
    </w:pPr>
  </w:style>
  <w:style w:type="paragraph" w:styleId="ListContinue3">
    <w:name w:val="List Continue 3"/>
    <w:basedOn w:val="List3"/>
    <w:rsid w:val="000E6165"/>
    <w:pPr>
      <w:ind w:left="1021" w:firstLine="0"/>
    </w:pPr>
  </w:style>
  <w:style w:type="paragraph" w:styleId="ListContinue4">
    <w:name w:val="List Continue 4"/>
    <w:basedOn w:val="List4"/>
    <w:rsid w:val="000E6165"/>
    <w:pPr>
      <w:ind w:firstLine="0"/>
    </w:pPr>
  </w:style>
  <w:style w:type="paragraph" w:styleId="ListContinue5">
    <w:name w:val="List Continue 5"/>
    <w:basedOn w:val="List5"/>
    <w:rsid w:val="000E6165"/>
    <w:pPr>
      <w:ind w:firstLine="0"/>
    </w:pPr>
  </w:style>
  <w:style w:type="paragraph" w:styleId="ListNumber3">
    <w:name w:val="List Number 3"/>
    <w:basedOn w:val="List3"/>
    <w:rsid w:val="000E6165"/>
    <w:pPr>
      <w:numPr>
        <w:numId w:val="4"/>
      </w:numPr>
    </w:pPr>
  </w:style>
  <w:style w:type="paragraph" w:styleId="ListNumber4">
    <w:name w:val="List Number 4"/>
    <w:basedOn w:val="List4"/>
    <w:rsid w:val="000E6165"/>
    <w:pPr>
      <w:numPr>
        <w:numId w:val="5"/>
      </w:numPr>
    </w:pPr>
  </w:style>
  <w:style w:type="paragraph" w:styleId="ListNumber5">
    <w:name w:val="List Number 5"/>
    <w:basedOn w:val="List5"/>
    <w:rsid w:val="000E6165"/>
    <w:pPr>
      <w:numPr>
        <w:numId w:val="6"/>
      </w:numPr>
    </w:pPr>
  </w:style>
  <w:style w:type="paragraph" w:styleId="BlockText">
    <w:name w:val="Block Text"/>
    <w:basedOn w:val="Normal"/>
    <w:rsid w:val="000E6165"/>
    <w:pPr>
      <w:spacing w:after="120"/>
      <w:ind w:left="1440" w:right="1440"/>
    </w:pPr>
  </w:style>
  <w:style w:type="character" w:customStyle="1" w:styleId="Subscript">
    <w:name w:val="Subscript"/>
    <w:basedOn w:val="DefaultParagraphFont"/>
    <w:rsid w:val="000E6165"/>
    <w:rPr>
      <w:sz w:val="16"/>
      <w:vertAlign w:val="subscript"/>
    </w:rPr>
  </w:style>
  <w:style w:type="character" w:customStyle="1" w:styleId="Superscript">
    <w:name w:val="Superscript"/>
    <w:basedOn w:val="DefaultParagraphFont"/>
    <w:rsid w:val="000E6165"/>
    <w:rPr>
      <w:sz w:val="16"/>
      <w:vertAlign w:val="superscript"/>
    </w:rPr>
  </w:style>
  <w:style w:type="character" w:customStyle="1" w:styleId="Symbols">
    <w:name w:val="Symbols"/>
    <w:basedOn w:val="DefaultParagraphFont"/>
    <w:rsid w:val="000E6165"/>
    <w:rPr>
      <w:rFonts w:ascii="Symbol" w:hAnsi="Symbol"/>
    </w:rPr>
  </w:style>
  <w:style w:type="character" w:customStyle="1" w:styleId="MenuOptions">
    <w:name w:val="Menu Options"/>
    <w:basedOn w:val="DefaultParagraphFont"/>
    <w:rsid w:val="000E6165"/>
    <w:rPr>
      <w:rFonts w:ascii="Arial Narrow" w:hAnsi="Arial Narrow"/>
      <w:smallCaps/>
    </w:rPr>
  </w:style>
  <w:style w:type="character" w:customStyle="1" w:styleId="Buttons">
    <w:name w:val="Buttons"/>
    <w:basedOn w:val="DefaultParagraphFont"/>
    <w:rsid w:val="000E6165"/>
    <w:rPr>
      <w:b/>
    </w:rPr>
  </w:style>
  <w:style w:type="character" w:customStyle="1" w:styleId="Underlined">
    <w:name w:val="Underlined"/>
    <w:basedOn w:val="DefaultParagraphFont"/>
    <w:rsid w:val="000E6165"/>
    <w:rPr>
      <w:u w:val="single"/>
    </w:rPr>
  </w:style>
  <w:style w:type="paragraph" w:customStyle="1" w:styleId="TableBodyTextRight">
    <w:name w:val="Table Body Text Right"/>
    <w:basedOn w:val="TableBodyText"/>
    <w:rsid w:val="000E6165"/>
    <w:pPr>
      <w:widowControl w:val="0"/>
      <w:autoSpaceDE w:val="0"/>
      <w:autoSpaceDN w:val="0"/>
      <w:adjustRightInd w:val="0"/>
      <w:jc w:val="right"/>
    </w:pPr>
    <w:rPr>
      <w:rFonts w:cs="Arial"/>
      <w:szCs w:val="18"/>
    </w:rPr>
  </w:style>
  <w:style w:type="paragraph" w:customStyle="1" w:styleId="CopyrightText">
    <w:name w:val="Copyright Text"/>
    <w:basedOn w:val="BodyText"/>
    <w:rsid w:val="000E6165"/>
    <w:rPr>
      <w:sz w:val="18"/>
    </w:rPr>
  </w:style>
  <w:style w:type="paragraph" w:customStyle="1" w:styleId="BodySmallRight">
    <w:name w:val="Body Small Right"/>
    <w:basedOn w:val="BodyTextRight"/>
    <w:rsid w:val="000E6165"/>
    <w:rPr>
      <w:sz w:val="18"/>
      <w:szCs w:val="18"/>
    </w:rPr>
  </w:style>
  <w:style w:type="paragraph" w:customStyle="1" w:styleId="MarginEdition">
    <w:name w:val="Margin Edition"/>
    <w:basedOn w:val="MarginNote"/>
    <w:rsid w:val="000E6165"/>
    <w:pPr>
      <w:spacing w:before="0" w:after="0"/>
    </w:pPr>
    <w:rPr>
      <w:rFonts w:ascii="Times New Roman" w:hAnsi="Times New Roman"/>
      <w:color w:val="999999"/>
    </w:rPr>
  </w:style>
  <w:style w:type="paragraph" w:customStyle="1" w:styleId="Spacer">
    <w:name w:val="Spacer"/>
    <w:basedOn w:val="Normal"/>
    <w:rsid w:val="000E6165"/>
    <w:rPr>
      <w:sz w:val="2"/>
      <w:szCs w:val="2"/>
    </w:rPr>
  </w:style>
  <w:style w:type="character" w:customStyle="1" w:styleId="Small">
    <w:name w:val="Small"/>
    <w:basedOn w:val="DefaultParagraphFont"/>
    <w:rsid w:val="000E6165"/>
    <w:rPr>
      <w:sz w:val="16"/>
    </w:rPr>
  </w:style>
  <w:style w:type="paragraph" w:customStyle="1" w:styleId="WideTable">
    <w:name w:val="Wide Table"/>
    <w:basedOn w:val="Normal"/>
    <w:rsid w:val="000E6165"/>
    <w:pPr>
      <w:ind w:left="-1418"/>
    </w:pPr>
    <w:rPr>
      <w:sz w:val="2"/>
      <w:szCs w:val="2"/>
    </w:rPr>
  </w:style>
  <w:style w:type="character" w:styleId="PageNumber">
    <w:name w:val="page number"/>
    <w:basedOn w:val="DefaultParagraphFont"/>
    <w:rsid w:val="000E6165"/>
  </w:style>
  <w:style w:type="paragraph" w:styleId="Quote">
    <w:name w:val="Quote"/>
    <w:basedOn w:val="Heading1"/>
    <w:link w:val="QuoteChar"/>
    <w:qFormat/>
    <w:rsid w:val="000E6165"/>
    <w:rPr>
      <w:b w:val="0"/>
      <w:sz w:val="72"/>
      <w:szCs w:val="72"/>
      <w:lang w:val="en-NZ"/>
    </w:rPr>
  </w:style>
  <w:style w:type="character" w:customStyle="1" w:styleId="QuoteChar">
    <w:name w:val="Quote Char"/>
    <w:basedOn w:val="DefaultParagraphFont"/>
    <w:link w:val="Quote"/>
    <w:rsid w:val="000E6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165"/>
    <w:pPr>
      <w:pageBreakBefore/>
    </w:pPr>
  </w:style>
  <w:style w:type="paragraph" w:customStyle="1" w:styleId="Border">
    <w:name w:val="Border"/>
    <w:basedOn w:val="Normal"/>
    <w:qFormat/>
    <w:rsid w:val="000E6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165"/>
    <w:rPr>
      <w:b/>
      <w:bCs/>
      <w:i/>
      <w:iCs/>
      <w:color w:val="auto"/>
    </w:rPr>
  </w:style>
  <w:style w:type="paragraph" w:styleId="IntenseQuote">
    <w:name w:val="Intense Quote"/>
    <w:basedOn w:val="Normal"/>
    <w:next w:val="Normal"/>
    <w:link w:val="IntenseQuoteChar"/>
    <w:uiPriority w:val="30"/>
    <w:qFormat/>
    <w:rsid w:val="000E6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1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165"/>
    <w:rPr>
      <w:smallCaps/>
      <w:color w:val="auto"/>
      <w:u w:val="single"/>
    </w:rPr>
  </w:style>
  <w:style w:type="character" w:styleId="IntenseReference">
    <w:name w:val="Intense Reference"/>
    <w:basedOn w:val="DefaultParagraphFont"/>
    <w:uiPriority w:val="32"/>
    <w:qFormat/>
    <w:rsid w:val="000E6165"/>
    <w:rPr>
      <w:b/>
      <w:bCs/>
      <w:smallCaps/>
      <w:color w:val="auto"/>
      <w:spacing w:val="5"/>
      <w:u w:val="single"/>
    </w:rPr>
  </w:style>
  <w:style w:type="paragraph" w:customStyle="1" w:styleId="2ColumnHeading">
    <w:name w:val="2Column Heading"/>
    <w:basedOn w:val="BodyText"/>
    <w:qFormat/>
    <w:rsid w:val="000E6165"/>
    <w:pPr>
      <w:spacing w:after="60"/>
      <w:ind w:left="-2268"/>
    </w:pPr>
    <w:rPr>
      <w:b/>
    </w:rPr>
  </w:style>
  <w:style w:type="paragraph" w:customStyle="1" w:styleId="Heading1TOC">
    <w:name w:val="Heading1 TOC"/>
    <w:basedOn w:val="Normal"/>
    <w:qFormat/>
    <w:rsid w:val="000E6165"/>
    <w:pPr>
      <w:spacing w:before="240" w:after="120"/>
    </w:pPr>
    <w:rPr>
      <w:rFonts w:ascii="Times New Roman" w:hAnsi="Times New Roman"/>
      <w:b/>
      <w:sz w:val="32"/>
    </w:rPr>
  </w:style>
  <w:style w:type="paragraph" w:customStyle="1" w:styleId="Heading2TOC">
    <w:name w:val="Heading2 TOC"/>
    <w:basedOn w:val="Normal"/>
    <w:qFormat/>
    <w:rsid w:val="000E6165"/>
    <w:pPr>
      <w:spacing w:before="240" w:after="60"/>
    </w:pPr>
    <w:rPr>
      <w:rFonts w:ascii="Times New Roman" w:hAnsi="Times New Roman"/>
      <w:b/>
      <w:sz w:val="28"/>
    </w:rPr>
  </w:style>
  <w:style w:type="character" w:customStyle="1" w:styleId="Underline">
    <w:name w:val="Underline"/>
    <w:basedOn w:val="DefaultParagraphFont"/>
    <w:qFormat/>
    <w:rsid w:val="000E6165"/>
    <w:rPr>
      <w:u w:val="single"/>
    </w:rPr>
  </w:style>
  <w:style w:type="paragraph" w:styleId="BalloonText">
    <w:name w:val="Balloon Text"/>
    <w:basedOn w:val="Normal"/>
    <w:link w:val="BalloonTextChar"/>
    <w:rsid w:val="000E6165"/>
    <w:rPr>
      <w:rFonts w:ascii="Tahoma" w:hAnsi="Tahoma" w:cs="Tahoma"/>
      <w:sz w:val="16"/>
      <w:szCs w:val="16"/>
    </w:rPr>
  </w:style>
  <w:style w:type="character" w:customStyle="1" w:styleId="BalloonTextChar">
    <w:name w:val="Balloon Text Char"/>
    <w:basedOn w:val="DefaultParagraphFont"/>
    <w:link w:val="BalloonText"/>
    <w:rsid w:val="000E61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1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1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1262</Words>
  <Characters>7959</Characters>
  <Application>Microsoft Office Word</Application>
  <DocSecurity>0</DocSecurity>
  <Lines>265</Lines>
  <Paragraphs>140</Paragraphs>
  <ScaleCrop>false</ScaleCrop>
  <Company>Author-it Software Corporation Ltd.</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FDFOP2045A Operate pumping equipment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