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556" w:rsidP="00457556">
      <w:pPr>
        <w:pStyle w:val="Title"/>
      </w:pPr>
      <w:r>
        <w:fldChar w:fldCharType="begin"/>
      </w:r>
      <w:r>
        <w:instrText xml:space="preserve"> TITLE   \* MERGEFORMAT </w:instrText>
      </w:r>
      <w:r>
        <w:fldChar w:fldCharType="separate"/>
      </w:r>
      <w:r>
        <w:t>FDFOP2028A Operate a mixing or blending process</w:t>
      </w:r>
      <w:r>
        <w:fldChar w:fldCharType="end"/>
      </w:r>
    </w:p>
    <w:p w:rsidR="00457556" w:rsidP="00457556">
      <w:pPr>
        <w:pStyle w:val="Version"/>
        <w:sectPr w:rsidSect="00ED2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2138" w:rsidP="00ED2138">
      <w:pPr>
        <w:pStyle w:val="SuperHeading"/>
      </w:pPr>
      <w:r w:rsidRPr="00ED2138">
        <w:t>FDFOP2028A Operate a mixing or blending process</w:t>
      </w:r>
    </w:p>
    <w:p w:rsidR="00000000" w:rsidRPr="00ED2138" w:rsidP="00ED2138">
      <w:pPr>
        <w:pStyle w:val="SuperHeading"/>
      </w:pPr>
    </w:p>
    <w:p w:rsidR="00000000" w:rsidRPr="00ED2138" w:rsidP="00ED2138">
      <w:pPr>
        <w:pStyle w:val="Heading1"/>
      </w:pPr>
      <w:bookmarkStart w:id="1" w:name="O_75351"/>
      <w:bookmarkEnd w:id="1"/>
      <w:r w:rsidRPr="00ED2138">
        <w:t>Modification History</w:t>
      </w:r>
    </w:p>
    <w:p w:rsidR="00000000" w:rsidRPr="00ED2138" w:rsidP="00ED2138">
      <w:pPr>
        <w:pStyle w:val="BodyText"/>
      </w:pPr>
      <w:r w:rsidRPr="00ED2138">
        <w:t>Not applicable.</w:t>
      </w:r>
    </w:p>
    <w:p w:rsidR="00000000" w:rsidRPr="00ED2138" w:rsidP="00ED2138">
      <w:pPr>
        <w:pStyle w:val="AllowPageBreak"/>
      </w:pPr>
    </w:p>
    <w:p w:rsidR="00000000" w:rsidRPr="00ED2138" w:rsidP="00ED2138">
      <w:pPr>
        <w:pStyle w:val="Heading1"/>
      </w:pPr>
      <w:bookmarkStart w:id="2" w:name="O_75352"/>
      <w:bookmarkEnd w:id="2"/>
      <w:r w:rsidRPr="00ED2138">
        <w:t>Unit Descriptor</w:t>
      </w:r>
    </w:p>
    <w:tbl>
      <w:tblPr>
        <w:tblW w:w="0" w:type="auto"/>
        <w:tblLayout w:type="fixed"/>
        <w:tblCellMar>
          <w:left w:w="62" w:type="dxa"/>
          <w:right w:w="62" w:type="dxa"/>
        </w:tblCellMar>
        <w:tblLook w:val="0000"/>
      </w:tblPr>
      <w:tblGrid>
        <w:gridCol w:w="2665"/>
        <w:gridCol w:w="5857"/>
      </w:tblGrid>
      <w:tr w:rsidTr="00457556">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This unit of competency covers the skills and knowledge required to combine ingredients and additives in the</w:t>
            </w:r>
            <w:r w:rsidRPr="00ED2138">
              <w:t xml:space="preserve"> correct quantities and sequence and to operate and shut down mixing and blending equipment to achieve the required mix characteristics. </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3" w:name="O_75353"/>
      <w:bookmarkEnd w:id="3"/>
      <w:r w:rsidRPr="00ED2138">
        <w:t>Application of the Unit</w:t>
      </w:r>
    </w:p>
    <w:tbl>
      <w:tblPr>
        <w:tblW w:w="0" w:type="auto"/>
        <w:tblLayout w:type="fixed"/>
        <w:tblCellMar>
          <w:left w:w="62" w:type="dxa"/>
          <w:right w:w="62" w:type="dxa"/>
        </w:tblCellMar>
        <w:tblLook w:val="0000"/>
      </w:tblPr>
      <w:tblGrid>
        <w:gridCol w:w="2751"/>
        <w:gridCol w:w="5771"/>
      </w:tblGrid>
      <w:tr w:rsidTr="0045755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 xml:space="preserve">This unit has application in a production environment within the food processing industry. Mixes may include concentrated pre-mixes or bulk blends. The output of this process may be a product requiring further processing or for external use. </w:t>
            </w:r>
          </w:p>
          <w:p w:rsidR="00000000" w:rsidRPr="00ED2138" w:rsidP="00ED2138">
            <w:pPr>
              <w:pStyle w:val="BodyText"/>
            </w:pPr>
            <w:r w:rsidRPr="00ED2138">
              <w:t xml:space="preserve">This unit is </w:t>
            </w:r>
            <w:r w:rsidRPr="00ED2138">
              <w:t>appropriate to select where the mixing or blending process is a stand-alone process and involves an understanding of addition method and sequence. Where mixing is an in-line component of a larger process, this unit is not appropriate. Where the mixing proc</w:t>
            </w:r>
            <w:r w:rsidRPr="00ED2138">
              <w:t>ess does not require a detailed understanding of sequencing or ingredient characteristics, FDFOP1004A Prepare basic mixes, may be more appropriate.</w:t>
            </w:r>
          </w:p>
          <w:p w:rsidR="00000000" w:rsidRPr="00ED2138" w:rsidP="00ED2138">
            <w:pPr>
              <w:pStyle w:val="BodyText"/>
            </w:pPr>
            <w:r w:rsidRPr="00ED2138">
              <w:t xml:space="preserve">When operators are required to perform batch or product changeover procedures as part of this work process, </w:t>
            </w:r>
            <w:r w:rsidRPr="00ED2138">
              <w:t>the procedures should be used to customise the application of this unit. Where more detailed changeovers are carried out, FDFOP2011A Conduct routine maintenance, should be selected.</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4" w:name="O_75354"/>
      <w:bookmarkEnd w:id="4"/>
      <w:r w:rsidRPr="00ED2138">
        <w:t>Licensing/Regulatory Information</w:t>
      </w:r>
    </w:p>
    <w:p w:rsidR="00000000" w:rsidRPr="00ED2138" w:rsidP="00ED2138">
      <w:pPr>
        <w:pStyle w:val="BodyText"/>
      </w:pPr>
      <w:r w:rsidRPr="00ED2138">
        <w:t>Not applicable.</w:t>
      </w:r>
    </w:p>
    <w:p w:rsidR="00000000" w:rsidRPr="00ED2138" w:rsidP="00ED2138">
      <w:pPr>
        <w:pStyle w:val="AllowPageBreak"/>
      </w:pPr>
    </w:p>
    <w:p w:rsidR="00000000" w:rsidRPr="00ED2138" w:rsidP="00ED2138">
      <w:pPr>
        <w:pStyle w:val="Heading1"/>
      </w:pPr>
      <w:bookmarkStart w:id="5" w:name="O_75355"/>
      <w:bookmarkEnd w:id="5"/>
      <w:r w:rsidRPr="00ED2138">
        <w:t>Pre-Requisites</w:t>
      </w:r>
    </w:p>
    <w:tbl>
      <w:tblPr>
        <w:tblW w:w="0" w:type="auto"/>
        <w:tblLayout w:type="fixed"/>
        <w:tblCellMar>
          <w:left w:w="62" w:type="dxa"/>
          <w:right w:w="62" w:type="dxa"/>
        </w:tblCellMar>
        <w:tblLook w:val="0000"/>
      </w:tblPr>
      <w:tblGrid>
        <w:gridCol w:w="2775"/>
        <w:gridCol w:w="1295"/>
        <w:gridCol w:w="4452"/>
      </w:tblGrid>
      <w:tr w:rsidTr="004575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p>
        </w:tc>
      </w:tr>
      <w:tr w:rsidTr="004575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p>
        </w:tc>
      </w:tr>
      <w:tr w:rsidTr="004575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6" w:name="O_75356"/>
      <w:bookmarkEnd w:id="6"/>
      <w:r w:rsidRPr="00ED2138">
        <w:t>Employability Skills Information</w:t>
      </w:r>
    </w:p>
    <w:tbl>
      <w:tblPr>
        <w:tblW w:w="0" w:type="auto"/>
        <w:tblLayout w:type="fixed"/>
        <w:tblCellMar>
          <w:left w:w="62" w:type="dxa"/>
          <w:right w:w="62" w:type="dxa"/>
        </w:tblCellMar>
        <w:tblLook w:val="0000"/>
      </w:tblPr>
      <w:tblGrid>
        <w:gridCol w:w="2802"/>
        <w:gridCol w:w="5720"/>
      </w:tblGrid>
      <w:tr w:rsidTr="004575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This unit contains employability skills.</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7" w:name="O_75357"/>
      <w:bookmarkEnd w:id="7"/>
      <w:r w:rsidRPr="00ED2138">
        <w:t>Elements and Performance Criteria Pre-Content</w:t>
      </w:r>
    </w:p>
    <w:tbl>
      <w:tblPr>
        <w:tblW w:w="0" w:type="auto"/>
        <w:tblLayout w:type="fixed"/>
        <w:tblCellMar>
          <w:left w:w="62" w:type="dxa"/>
          <w:right w:w="62" w:type="dxa"/>
        </w:tblCellMar>
        <w:tblLook w:val="0000"/>
      </w:tblPr>
      <w:tblGrid>
        <w:gridCol w:w="2538"/>
        <w:gridCol w:w="5984"/>
      </w:tblGrid>
      <w:tr w:rsidTr="0045755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Performance criteria describe the performance needed to demonstrate achievement of the element. Where bold italicised text is used, further information is detailed in the required skills and</w:t>
            </w:r>
            <w:r w:rsidRPr="00ED2138">
              <w:t xml:space="preserve"> knowledge section and the range statement. Assessment of performance is to be consistent with the evidence guide.</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8" w:name="O_75358"/>
      <w:bookmarkEnd w:id="8"/>
      <w:r w:rsidRPr="00ED2138">
        <w:t>Elements and Performance Criteria</w:t>
      </w:r>
    </w:p>
    <w:tbl>
      <w:tblPr>
        <w:tblW w:w="0" w:type="auto"/>
        <w:tblLayout w:type="fixed"/>
        <w:tblCellMar>
          <w:left w:w="62" w:type="dxa"/>
          <w:right w:w="62" w:type="dxa"/>
        </w:tblCellMar>
        <w:tblLook w:val="0000"/>
      </w:tblPr>
      <w:tblGrid>
        <w:gridCol w:w="2538"/>
        <w:gridCol w:w="5984"/>
      </w:tblGrid>
      <w:tr w:rsidTr="0045755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PERFORMANCE CRITERIA</w:t>
            </w:r>
          </w:p>
        </w:tc>
      </w:tr>
      <w:tr w:rsidTr="0045755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List"/>
              <w:rPr>
                <w:lang w:val="en-NZ"/>
              </w:rPr>
            </w:pPr>
            <w:r w:rsidRPr="00ED2138">
              <w:t>1.</w:t>
            </w:r>
            <w:r w:rsidRPr="00ED2138">
              <w:tab/>
            </w:r>
            <w:r w:rsidRPr="00ED2138">
              <w:t>Prepare the mixing or blending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List2"/>
            </w:pPr>
            <w:r w:rsidRPr="00ED2138">
              <w:t>1.1.</w:t>
            </w:r>
            <w:r w:rsidRPr="00ED2138">
              <w:tab/>
              <w:t>Materials are confirmed and available to meet production requirements</w:t>
            </w:r>
          </w:p>
          <w:p w:rsidR="00000000" w:rsidRPr="00ED2138" w:rsidP="00ED2138">
            <w:pPr>
              <w:pStyle w:val="List2"/>
            </w:pPr>
            <w:r w:rsidRPr="00ED2138">
              <w:t>1.2.</w:t>
            </w:r>
            <w:r w:rsidRPr="00ED2138">
              <w:tab/>
              <w:t>Pre-mixes are prepared as required</w:t>
            </w:r>
          </w:p>
          <w:p w:rsidR="00000000" w:rsidRPr="00ED2138" w:rsidP="00ED2138">
            <w:pPr>
              <w:pStyle w:val="List2"/>
            </w:pPr>
            <w:r w:rsidRPr="00ED2138">
              <w:t>1.3.</w:t>
            </w:r>
            <w:r w:rsidRPr="00ED2138">
              <w:tab/>
              <w:t>Cleaning and maintenance requirements and status are identified and c</w:t>
            </w:r>
            <w:r w:rsidRPr="00ED2138">
              <w:t>onfirmed</w:t>
            </w:r>
          </w:p>
          <w:p w:rsidR="00000000" w:rsidRPr="00ED2138" w:rsidP="00ED2138">
            <w:pPr>
              <w:pStyle w:val="List2"/>
            </w:pPr>
            <w:r w:rsidRPr="00ED2138">
              <w:t>1.4.</w:t>
            </w:r>
            <w:r w:rsidRPr="00ED2138">
              <w:tab/>
              <w:t>Machine components and related attachments are fitted and adjusted to meet operating requirements</w:t>
            </w:r>
          </w:p>
          <w:p w:rsidR="00000000" w:rsidRPr="00ED2138" w:rsidP="00ED2138">
            <w:pPr>
              <w:pStyle w:val="List2"/>
            </w:pPr>
            <w:r w:rsidRPr="00ED2138">
              <w:t>1.5.</w:t>
            </w:r>
            <w:r w:rsidRPr="00ED2138">
              <w:tab/>
              <w:t>Processing or operating parameters are entered as required to meet production requirements</w:t>
            </w:r>
          </w:p>
          <w:p w:rsidR="00000000" w:rsidRPr="00ED2138" w:rsidP="00ED2138">
            <w:pPr>
              <w:pStyle w:val="List2"/>
            </w:pPr>
            <w:r w:rsidRPr="00ED2138">
              <w:t>1.6.</w:t>
            </w:r>
            <w:r w:rsidRPr="00ED2138">
              <w:tab/>
              <w:t>Equipment performance is checked and adjust</w:t>
            </w:r>
            <w:r w:rsidRPr="00ED2138">
              <w:t>ed as required</w:t>
            </w:r>
          </w:p>
          <w:p w:rsidR="00000000" w:rsidP="00ED2138">
            <w:pPr>
              <w:pStyle w:val="List2"/>
              <w:rPr>
                <w:lang w:val="en-NZ"/>
              </w:rPr>
            </w:pPr>
            <w:r w:rsidRPr="00ED2138">
              <w:t>1.7.</w:t>
            </w:r>
            <w:r w:rsidRPr="00ED2138">
              <w:tab/>
              <w:t>Pre-start checks are carried out as required by workplace requirements</w:t>
            </w:r>
          </w:p>
        </w:tc>
      </w:tr>
      <w:tr w:rsidTr="0045755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List"/>
              <w:rPr>
                <w:lang w:val="en-NZ"/>
              </w:rPr>
            </w:pPr>
            <w:r w:rsidRPr="00ED2138">
              <w:t>2.</w:t>
            </w:r>
            <w:r w:rsidRPr="00ED2138">
              <w:tab/>
              <w:t>Operate and monitor the mixing or blending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List2"/>
            </w:pPr>
            <w:r w:rsidRPr="00ED2138">
              <w:t>2.1.</w:t>
            </w:r>
            <w:r w:rsidRPr="00ED2138">
              <w:tab/>
              <w:t>Ingredients and additives are delivered to the mixer in the required quantities and sequence to meet reci</w:t>
            </w:r>
            <w:r w:rsidRPr="00ED2138">
              <w:t>pe specifications</w:t>
            </w:r>
          </w:p>
          <w:p w:rsidR="00000000" w:rsidRPr="00ED2138" w:rsidP="00ED2138">
            <w:pPr>
              <w:pStyle w:val="List2"/>
            </w:pPr>
            <w:r w:rsidRPr="00ED2138">
              <w:t>2.2.</w:t>
            </w:r>
            <w:r w:rsidRPr="00ED2138">
              <w:tab/>
              <w:t>The mixing or blending process is started and operated according to workplace procedures</w:t>
            </w:r>
          </w:p>
          <w:p w:rsidR="00000000" w:rsidRPr="00ED2138" w:rsidP="00ED2138">
            <w:pPr>
              <w:pStyle w:val="List2"/>
            </w:pPr>
            <w:r w:rsidRPr="00ED2138">
              <w:t>2.3.</w:t>
            </w:r>
            <w:r w:rsidRPr="00ED2138">
              <w:tab/>
              <w:t>Equipment is monitored to identify variation in operating conditions</w:t>
            </w:r>
          </w:p>
          <w:p w:rsidR="00000000" w:rsidRPr="00ED2138" w:rsidP="00ED2138">
            <w:pPr>
              <w:pStyle w:val="List2"/>
            </w:pPr>
            <w:r w:rsidRPr="00ED2138">
              <w:t>2.4.</w:t>
            </w:r>
            <w:r w:rsidRPr="00ED2138">
              <w:tab/>
              <w:t>Variation in equipment operation is identified and maintenance re</w:t>
            </w:r>
            <w:r w:rsidRPr="00ED2138">
              <w:t>quirements are reported according to workplace reporting requirements</w:t>
            </w:r>
          </w:p>
          <w:p w:rsidR="00000000" w:rsidRPr="00ED2138" w:rsidP="00ED2138">
            <w:pPr>
              <w:pStyle w:val="List2"/>
            </w:pPr>
            <w:r w:rsidRPr="00ED2138">
              <w:t>2.5.</w:t>
            </w:r>
            <w:r w:rsidRPr="00ED2138">
              <w:tab/>
              <w:t>The mixing process is monitored to confirm that specifications are met</w:t>
            </w:r>
          </w:p>
          <w:p w:rsidR="00000000" w:rsidRPr="00ED2138" w:rsidP="00ED2138">
            <w:pPr>
              <w:pStyle w:val="List2"/>
            </w:pPr>
            <w:r w:rsidRPr="00ED2138">
              <w:t>2.6.</w:t>
            </w:r>
            <w:r w:rsidRPr="00ED2138">
              <w:tab/>
            </w:r>
            <w:r w:rsidRPr="00ED2138">
              <w:t>Out-of-specification product or process outcomes are identified, rectified and/or reported to maintain the process within specification</w:t>
            </w:r>
          </w:p>
          <w:p w:rsidR="00000000" w:rsidRPr="00ED2138" w:rsidP="00ED2138">
            <w:pPr>
              <w:pStyle w:val="List2"/>
            </w:pPr>
            <w:r w:rsidRPr="00ED2138">
              <w:t>2.7.</w:t>
            </w:r>
            <w:r w:rsidRPr="00ED2138">
              <w:tab/>
              <w:t>Mix is transferred to required production or storage location</w:t>
            </w:r>
          </w:p>
          <w:p w:rsidR="00000000" w:rsidRPr="00ED2138" w:rsidP="00ED2138">
            <w:pPr>
              <w:pStyle w:val="List2"/>
            </w:pPr>
            <w:r w:rsidRPr="00ED2138">
              <w:t>2.8.</w:t>
            </w:r>
            <w:r w:rsidRPr="00ED2138">
              <w:tab/>
              <w:t>The work area is maintained according to houseke</w:t>
            </w:r>
            <w:r w:rsidRPr="00ED2138">
              <w:t>eping standards</w:t>
            </w:r>
          </w:p>
          <w:p w:rsidR="00000000" w:rsidRPr="00ED2138" w:rsidP="00ED2138">
            <w:pPr>
              <w:pStyle w:val="List2"/>
            </w:pPr>
            <w:r w:rsidRPr="00ED2138">
              <w:t>2.9.</w:t>
            </w:r>
            <w:r w:rsidRPr="00ED2138">
              <w:tab/>
              <w:t>Work is conducted in accordance with workplace environmental guidelines</w:t>
            </w:r>
          </w:p>
          <w:p w:rsidR="00000000" w:rsidP="00ED2138">
            <w:pPr>
              <w:pStyle w:val="List2"/>
              <w:rPr>
                <w:lang w:val="en-NZ"/>
              </w:rPr>
            </w:pPr>
            <w:r w:rsidRPr="00ED2138">
              <w:t>2.10.</w:t>
            </w:r>
            <w:r w:rsidRPr="00ED2138">
              <w:tab/>
              <w:t>Workplace records are maintained according to workplace recording requirements</w:t>
            </w:r>
          </w:p>
        </w:tc>
      </w:tr>
      <w:tr w:rsidTr="00457556">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List"/>
              <w:rPr>
                <w:lang w:val="en-NZ"/>
              </w:rPr>
            </w:pPr>
            <w:r w:rsidRPr="00ED2138">
              <w:t>3.</w:t>
            </w:r>
            <w:r w:rsidRPr="00ED2138">
              <w:tab/>
              <w:t>Shut down the mixing or blending process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List2"/>
            </w:pPr>
            <w:r w:rsidRPr="00ED2138">
              <w:t>3.1.</w:t>
            </w:r>
            <w:r w:rsidRPr="00ED2138">
              <w:tab/>
              <w:t>The appropriate shutdown pro</w:t>
            </w:r>
            <w:r w:rsidRPr="00ED2138">
              <w:t>cedure is identified</w:t>
            </w:r>
          </w:p>
          <w:p w:rsidR="00000000" w:rsidRPr="00ED2138" w:rsidP="00ED2138">
            <w:pPr>
              <w:pStyle w:val="List2"/>
            </w:pPr>
            <w:r w:rsidRPr="00ED2138">
              <w:t>3.2.</w:t>
            </w:r>
            <w:r w:rsidRPr="00ED2138">
              <w:tab/>
              <w:t>The process is shut down according to workplace procedures</w:t>
            </w:r>
          </w:p>
          <w:p w:rsidR="00000000" w:rsidRPr="00ED2138" w:rsidP="00ED2138">
            <w:pPr>
              <w:pStyle w:val="List2"/>
            </w:pPr>
            <w:r w:rsidRPr="00ED2138">
              <w:t>3.3.</w:t>
            </w:r>
            <w:r w:rsidRPr="00ED2138">
              <w:tab/>
              <w:t>Maintenance requirements are identified and reported</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9" w:name="O_75359"/>
      <w:bookmarkEnd w:id="9"/>
      <w:r w:rsidRPr="00ED2138">
        <w:t>Required Skills and Knowledge</w:t>
      </w:r>
    </w:p>
    <w:tbl>
      <w:tblPr>
        <w:tblW w:w="0" w:type="auto"/>
        <w:tblLayout w:type="fixed"/>
        <w:tblCellMar>
          <w:left w:w="62" w:type="dxa"/>
          <w:right w:w="62" w:type="dxa"/>
        </w:tblCellMar>
        <w:tblLook w:val="0000"/>
      </w:tblPr>
      <w:tblGrid>
        <w:gridCol w:w="8522"/>
      </w:tblGrid>
      <w:tr w:rsidTr="004575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REQUIRED SKILLS AND KNOWLEDGE</w:t>
            </w:r>
          </w:p>
        </w:tc>
      </w:tr>
      <w:tr w:rsidTr="004575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This section describes the skills and knowledge required for this unit.</w:t>
            </w:r>
          </w:p>
        </w:tc>
      </w:tr>
      <w:tr w:rsidTr="004575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Required skills</w:t>
            </w:r>
          </w:p>
        </w:tc>
      </w:tr>
      <w:tr w:rsidTr="004575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rPr>
                <w:rStyle w:val="BoldandItalics"/>
              </w:rPr>
              <w:t>Ability to</w:t>
            </w:r>
            <w:r w:rsidRPr="00ED2138">
              <w:t>:</w:t>
            </w:r>
          </w:p>
          <w:p w:rsidR="00000000" w:rsidRPr="00ED2138" w:rsidP="00ED2138">
            <w:pPr>
              <w:pStyle w:val="ListBullet"/>
            </w:pPr>
            <w:r w:rsidRPr="00ED2138">
              <w:t xml:space="preserve">access workplace information to identify mixing/blending requirements </w:t>
            </w:r>
          </w:p>
          <w:p w:rsidR="00000000" w:rsidRPr="00ED2138" w:rsidP="00ED2138">
            <w:pPr>
              <w:pStyle w:val="ListBullet"/>
            </w:pPr>
            <w:r w:rsidRPr="00ED2138">
              <w:t>select, fit and use personal protective clothing and/or equipment</w:t>
            </w:r>
          </w:p>
          <w:p w:rsidR="00000000" w:rsidRPr="00ED2138" w:rsidP="00ED2138">
            <w:pPr>
              <w:pStyle w:val="ListBullet"/>
            </w:pPr>
            <w:r w:rsidRPr="00ED2138">
              <w:t>confirm supply of necessary materials and services</w:t>
            </w:r>
          </w:p>
          <w:p w:rsidR="00000000" w:rsidRPr="00ED2138" w:rsidP="00ED2138">
            <w:pPr>
              <w:pStyle w:val="ListBullet"/>
            </w:pPr>
            <w:r w:rsidRPr="00ED2138">
              <w:t>conduct pre-start checks, such as inspecting equipment condition to identify any signs of wear, selecting appropriate settings and/or related parameters, cancelling isolation or lockouts as required, confi</w:t>
            </w:r>
            <w:r w:rsidRPr="00ED2138">
              <w:t>rming that equipment is clean and correctly configured for processing requirements, positioning sensors and controls correctly, ensuring any scheduled maintenance has been carried out, and confirming that all safety guards are in place and operational</w:t>
            </w:r>
          </w:p>
          <w:p w:rsidR="00000000" w:rsidRPr="00ED2138" w:rsidP="00ED2138">
            <w:pPr>
              <w:pStyle w:val="ListBullet"/>
            </w:pPr>
            <w:r w:rsidRPr="00ED2138">
              <w:t>add/</w:t>
            </w:r>
            <w:r w:rsidRPr="00ED2138">
              <w:t xml:space="preserve">load materials in correct quantities and sequence, such as monitoring automatic ingredient addition and/or manual addition </w:t>
            </w:r>
          </w:p>
          <w:p w:rsidR="00000000" w:rsidRPr="00ED2138" w:rsidP="00ED2138">
            <w:pPr>
              <w:pStyle w:val="ListBullet"/>
            </w:pPr>
            <w:r w:rsidRPr="00ED2138">
              <w:t>start, monitor and adjust mixing or blending process equipment to achieve required outcomes,including monitoring flow rates/quantity</w:t>
            </w:r>
            <w:r w:rsidRPr="00ED2138">
              <w:t>, time or temperature and mix/blending settings</w:t>
            </w:r>
          </w:p>
          <w:p w:rsidR="00000000" w:rsidRPr="00ED2138" w:rsidP="00ED2138">
            <w:pPr>
              <w:pStyle w:val="ListBullet"/>
            </w:pPr>
            <w:r w:rsidRPr="00ED2138">
              <w:t>monitorcontrol points and conduct inspections as required to confirm process remains within specification</w:t>
            </w:r>
          </w:p>
          <w:p w:rsidR="00000000" w:rsidRPr="00ED2138" w:rsidP="00ED2138">
            <w:pPr>
              <w:pStyle w:val="ListBullet"/>
            </w:pPr>
            <w:r w:rsidRPr="00ED2138">
              <w:t>monitor supply and flow of ingredients and additives to and from the mixing or blending process</w:t>
            </w:r>
          </w:p>
          <w:p w:rsidR="00000000" w:rsidRPr="00ED2138" w:rsidP="00ED2138">
            <w:pPr>
              <w:pStyle w:val="ListBullet"/>
            </w:pPr>
            <w:r w:rsidRPr="00ED2138">
              <w:t>pace m</w:t>
            </w:r>
            <w:r w:rsidRPr="00ED2138">
              <w:t>ixing/blending to meet production requirements</w:t>
            </w:r>
          </w:p>
          <w:p w:rsidR="00000000" w:rsidRPr="00ED2138" w:rsidP="00ED2138">
            <w:pPr>
              <w:pStyle w:val="ListBullet"/>
            </w:pPr>
            <w:r w:rsidRPr="00ED2138">
              <w:t>take corrective action in response to out-of-specification results</w:t>
            </w:r>
          </w:p>
          <w:p w:rsidR="00000000" w:rsidRPr="00ED2138" w:rsidP="00ED2138">
            <w:pPr>
              <w:pStyle w:val="ListBullet"/>
            </w:pPr>
            <w:r w:rsidRPr="00ED2138">
              <w:t>respond to and/or report equipment failure within level of responsibility</w:t>
            </w:r>
          </w:p>
          <w:p w:rsidR="00000000" w:rsidRPr="00ED2138" w:rsidP="00ED2138">
            <w:pPr>
              <w:pStyle w:val="ListBullet"/>
            </w:pPr>
            <w:r w:rsidRPr="00ED2138">
              <w:t>locate emergency stop functions on equipment</w:t>
            </w:r>
          </w:p>
          <w:p w:rsidR="00000000" w:rsidRPr="00ED2138" w:rsidP="00ED2138">
            <w:pPr>
              <w:pStyle w:val="ListBullet"/>
            </w:pPr>
            <w:r w:rsidRPr="00ED2138">
              <w:t>follow isolation and lo</w:t>
            </w:r>
            <w:r w:rsidRPr="00ED2138">
              <w:t xml:space="preserve">ck out or tag out procedures as required to take process and related equipment off-line in preparation for cleaning and/or maintenance within level of responsibility </w:t>
            </w:r>
          </w:p>
          <w:p w:rsidR="00000000" w:rsidRPr="00ED2138" w:rsidP="00ED2138">
            <w:pPr>
              <w:pStyle w:val="ListBullet"/>
            </w:pPr>
            <w:r w:rsidRPr="00ED2138">
              <w:t xml:space="preserve">complete workplace records as required </w:t>
            </w:r>
          </w:p>
          <w:p w:rsidR="00000000" w:rsidRPr="00ED2138" w:rsidP="00ED2138">
            <w:pPr>
              <w:pStyle w:val="ListBullet"/>
            </w:pPr>
            <w:r w:rsidRPr="00ED2138">
              <w:t xml:space="preserve">demonstrate batch or product changeovers </w:t>
            </w:r>
          </w:p>
          <w:p w:rsidR="00000000" w:rsidRPr="00ED2138" w:rsidP="00ED2138">
            <w:pPr>
              <w:pStyle w:val="ListBullet"/>
            </w:pPr>
            <w:r w:rsidRPr="00ED2138">
              <w:t>maintai</w:t>
            </w:r>
            <w:r w:rsidRPr="00ED2138">
              <w:t>n work area to meet housekeeping standards</w:t>
            </w:r>
          </w:p>
          <w:p w:rsidR="00000000" w:rsidRPr="00ED2138" w:rsidP="00ED2138">
            <w:pPr>
              <w:pStyle w:val="ListBullet"/>
            </w:pPr>
            <w:r w:rsidRPr="00ED2138">
              <w:t>use process control systems according to enterprise procedures</w:t>
            </w:r>
          </w:p>
          <w:p w:rsidR="00000000" w:rsidRPr="00ED2138" w:rsidP="00ED2138">
            <w:pPr>
              <w:pStyle w:val="ListBullet"/>
            </w:pPr>
            <w:r w:rsidRPr="00ED2138">
              <w:t>collect samples and conduct tests according to enterprise procedures</w:t>
            </w:r>
          </w:p>
          <w:p w:rsidR="00000000" w:rsidRPr="00ED2138" w:rsidP="00ED2138">
            <w:pPr>
              <w:pStyle w:val="ListBullet"/>
            </w:pPr>
            <w:r w:rsidRPr="00ED2138">
              <w:t>label and store pre-mixes and/or mixes according to enterprise procedures</w:t>
            </w:r>
          </w:p>
          <w:p w:rsidR="00000000" w:rsidRPr="00ED2138" w:rsidP="00ED2138">
            <w:pPr>
              <w:pStyle w:val="ListBullet"/>
            </w:pPr>
            <w:r w:rsidRPr="00ED2138">
              <w:t>conduct</w:t>
            </w:r>
            <w:r w:rsidRPr="00ED2138">
              <w:t xml:space="preserve"> routine maintenance according to enterprise procedures</w:t>
            </w:r>
          </w:p>
          <w:p w:rsidR="00000000" w:rsidRPr="00ED2138" w:rsidP="00ED2138">
            <w:pPr>
              <w:pStyle w:val="ListBullet"/>
            </w:pPr>
            <w:r w:rsidRPr="00ED2138">
              <w:t xml:space="preserve">clean and sanitise equipment according to enterprise procedures </w:t>
            </w:r>
          </w:p>
          <w:p w:rsidR="00000000" w:rsidRPr="00ED2138" w:rsidP="00ED2138">
            <w:pPr>
              <w:pStyle w:val="ListBullet"/>
            </w:pPr>
            <w:r w:rsidRPr="00ED2138">
              <w:t>use oral communication skills/language competence to fulfil the job role as specified by the organisation, including questioning, activ</w:t>
            </w:r>
            <w:r w:rsidRPr="00ED2138">
              <w:t>e listening, asking for clarification and seeking advice from supervisor</w:t>
            </w:r>
          </w:p>
          <w:p w:rsidR="00000000" w:rsidP="00ED2138">
            <w:pPr>
              <w:pStyle w:val="ListBullet"/>
              <w:rPr>
                <w:lang w:val="en-NZ"/>
              </w:rPr>
            </w:pPr>
            <w:r w:rsidRPr="00ED2138">
              <w:t>work cooperatively within a culturally diverse workforce</w:t>
            </w:r>
          </w:p>
        </w:tc>
      </w:tr>
      <w:tr w:rsidTr="004575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Required knowledge</w:t>
            </w:r>
          </w:p>
        </w:tc>
      </w:tr>
      <w:tr w:rsidTr="004575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rPr>
                <w:rStyle w:val="BoldandItalics"/>
              </w:rPr>
              <w:t>Knowledge of</w:t>
            </w:r>
            <w:r w:rsidRPr="00ED2138">
              <w:t>:</w:t>
            </w:r>
          </w:p>
          <w:p w:rsidR="00000000" w:rsidRPr="00ED2138" w:rsidP="00ED2138">
            <w:pPr>
              <w:pStyle w:val="ListBullet"/>
            </w:pPr>
            <w:r w:rsidRPr="00ED2138">
              <w:t xml:space="preserve">purpose and basic principles of preparing mixes and blends, including the characteristics </w:t>
            </w:r>
            <w:r w:rsidRPr="00ED2138">
              <w:t>and basic function of ingredients and additives used, method and sequence of ingredient addition required to achieve required blend characteristics, and where relevant, the purpose of conditioning, maturation or holding stages required prior to further pro</w:t>
            </w:r>
            <w:r w:rsidRPr="00ED2138">
              <w:t>cessing of the mix</w:t>
            </w:r>
          </w:p>
          <w:p w:rsidR="00000000" w:rsidRPr="00ED2138" w:rsidP="00ED2138">
            <w:pPr>
              <w:pStyle w:val="ListBullet"/>
            </w:pPr>
            <w:r w:rsidRPr="00ED2138">
              <w:t>basic understanding of specific gravity and bulk density as appropriate for ingredients used</w:t>
            </w:r>
          </w:p>
          <w:p w:rsidR="00000000" w:rsidRPr="00ED2138" w:rsidP="00ED2138">
            <w:pPr>
              <w:pStyle w:val="ListBullet"/>
            </w:pPr>
            <w:r w:rsidRPr="00ED2138">
              <w:t xml:space="preserve">basic operating principles of mixing/blending equipment, including main equipment components, status and purpose of guards, equipment operating </w:t>
            </w:r>
            <w:r w:rsidRPr="00ED2138">
              <w:t>capacities and applications, the purpose and location of sensors and related feedback instrumentation, and awareness of calibration schedules for scales and related weighing/measuring equipment</w:t>
            </w:r>
          </w:p>
          <w:p w:rsidR="00000000" w:rsidRPr="00ED2138" w:rsidP="00ED2138">
            <w:pPr>
              <w:pStyle w:val="ListBullet"/>
            </w:pPr>
            <w:r w:rsidRPr="00ED2138">
              <w:t>services required and action to take if services are not avail</w:t>
            </w:r>
            <w:r w:rsidRPr="00ED2138">
              <w:t>able</w:t>
            </w:r>
          </w:p>
          <w:p w:rsidR="00000000" w:rsidRPr="00ED2138" w:rsidP="00ED2138">
            <w:pPr>
              <w:pStyle w:val="ListBullet"/>
            </w:pPr>
            <w:r w:rsidRPr="00ED2138">
              <w:t>the flow of the mixing process and the effect of mix preparation on downstream processes</w:t>
            </w:r>
          </w:p>
          <w:p w:rsidR="00000000" w:rsidRPr="00ED2138" w:rsidP="00ED2138">
            <w:pPr>
              <w:pStyle w:val="ListBullet"/>
            </w:pPr>
            <w:r w:rsidRPr="00ED2138">
              <w:t>procedures for requisitioning, receiving and returning ingredients from stores</w:t>
            </w:r>
          </w:p>
          <w:p w:rsidR="00000000" w:rsidRPr="00ED2138" w:rsidP="00ED2138">
            <w:pPr>
              <w:pStyle w:val="ListBullet"/>
            </w:pPr>
            <w:r w:rsidRPr="00ED2138">
              <w:t xml:space="preserve">ingredient handling requirements and shelf-life or coding </w:t>
            </w:r>
          </w:p>
          <w:p w:rsidR="00000000" w:rsidRPr="00ED2138" w:rsidP="00ED2138">
            <w:pPr>
              <w:pStyle w:val="ListBullet"/>
            </w:pPr>
            <w:r w:rsidRPr="00ED2138">
              <w:t xml:space="preserve">quality characteristics </w:t>
            </w:r>
            <w:r w:rsidRPr="00ED2138">
              <w:t>required of ingredients and additives and their effect on mixing process performance, including methods used to condition or prepare ingredients prior to addition</w:t>
            </w:r>
          </w:p>
          <w:p w:rsidR="00000000" w:rsidRPr="00ED2138" w:rsidP="00ED2138">
            <w:pPr>
              <w:pStyle w:val="ListBullet"/>
            </w:pPr>
            <w:r w:rsidRPr="00ED2138">
              <w:t xml:space="preserve">methods used to monitor the blending or mixing process, including inspecting, measuring, and </w:t>
            </w:r>
            <w:r w:rsidRPr="00ED2138">
              <w:t>testing as required by the process</w:t>
            </w:r>
          </w:p>
          <w:p w:rsidR="00000000" w:rsidRPr="00ED2138" w:rsidP="00ED2138">
            <w:pPr>
              <w:pStyle w:val="ListBullet"/>
            </w:pPr>
            <w:r w:rsidRPr="00ED2138">
              <w:t>inspection or test points (control points) in the process and the related procedures and recording requirements, such as:</w:t>
            </w:r>
          </w:p>
          <w:p w:rsidR="00000000" w:rsidRPr="00ED2138" w:rsidP="00ED2138">
            <w:pPr>
              <w:pStyle w:val="ListBullet2"/>
            </w:pPr>
            <w:r w:rsidRPr="00ED2138">
              <w:t>flow rates</w:t>
            </w:r>
          </w:p>
          <w:p w:rsidR="00000000" w:rsidRPr="00ED2138" w:rsidP="00ED2138">
            <w:pPr>
              <w:pStyle w:val="ListBullet2"/>
            </w:pPr>
            <w:r w:rsidRPr="00ED2138">
              <w:t>ingredient/additive addition sequence</w:t>
            </w:r>
          </w:p>
          <w:p w:rsidR="00000000" w:rsidRPr="00ED2138" w:rsidP="00ED2138">
            <w:pPr>
              <w:pStyle w:val="ListBullet2"/>
            </w:pPr>
            <w:r w:rsidRPr="00ED2138">
              <w:t>times/temperatures and agitator speeds</w:t>
            </w:r>
          </w:p>
          <w:p w:rsidR="00000000" w:rsidRPr="00ED2138" w:rsidP="00ED2138">
            <w:pPr>
              <w:pStyle w:val="ListBullet2"/>
            </w:pPr>
            <w:r w:rsidRPr="00ED2138">
              <w:t>required characteristics of blend, such as viscosity, appearance and temperature</w:t>
            </w:r>
          </w:p>
          <w:p w:rsidR="00000000" w:rsidRPr="00ED2138" w:rsidP="00ED2138">
            <w:pPr>
              <w:pStyle w:val="ListBullet"/>
            </w:pPr>
            <w:r w:rsidRPr="00ED2138">
              <w:t>required attributes of the mixed or blended output, such as chemical, texture and flavour profiles as required</w:t>
            </w:r>
          </w:p>
          <w:p w:rsidR="00000000" w:rsidRPr="00ED2138" w:rsidP="00ED2138">
            <w:pPr>
              <w:pStyle w:val="ListBullet"/>
            </w:pPr>
            <w:r w:rsidRPr="00ED2138">
              <w:t>the effect of the mixing or blending parameters, such as temper</w:t>
            </w:r>
            <w:r w:rsidRPr="00ED2138">
              <w:t xml:space="preserve">ature and length of mix time on mixing outcome </w:t>
            </w:r>
          </w:p>
          <w:p w:rsidR="00000000" w:rsidRPr="00ED2138" w:rsidP="00ED2138">
            <w:pPr>
              <w:pStyle w:val="ListBullet"/>
            </w:pPr>
            <w:r w:rsidRPr="00ED2138">
              <w:t>contamination and food safety risks associated with the process and related control measures, including product compatibility and cross contamination risks and associated cleaning requirements, as well as com</w:t>
            </w:r>
            <w:r w:rsidRPr="00ED2138">
              <w:t>mon allergens used in mixes prepared</w:t>
            </w:r>
          </w:p>
          <w:p w:rsidR="00000000" w:rsidRPr="00ED2138" w:rsidP="00ED2138">
            <w:pPr>
              <w:pStyle w:val="ListBullet"/>
            </w:pPr>
            <w:r w:rsidRPr="00ED2138">
              <w:t>operating requirements and parameters and corrective action required where operation is outside specified operating parameters</w:t>
            </w:r>
          </w:p>
          <w:p w:rsidR="00000000" w:rsidRPr="00ED2138" w:rsidP="00ED2138">
            <w:pPr>
              <w:pStyle w:val="ListBullet"/>
            </w:pPr>
            <w:r w:rsidRPr="00ED2138">
              <w:t>typical equipment faults and related causes, including signs and symptoms of faulty equipmen</w:t>
            </w:r>
            <w:r w:rsidRPr="00ED2138">
              <w:t>t and early warning signs of potential problems</w:t>
            </w:r>
          </w:p>
          <w:p w:rsidR="00000000" w:rsidRPr="00ED2138" w:rsidP="00ED2138">
            <w:pPr>
              <w:pStyle w:val="ListBullet"/>
            </w:pPr>
            <w:r w:rsidRPr="00ED2138">
              <w:t>common causes of variation and corrective action required</w:t>
            </w:r>
          </w:p>
          <w:p w:rsidR="00000000" w:rsidRPr="00ED2138" w:rsidP="00ED2138">
            <w:pPr>
              <w:pStyle w:val="ListBullet"/>
            </w:pPr>
            <w:r w:rsidRPr="00ED2138">
              <w:t xml:space="preserve">occupational health and safety (OHS) hazards and controls </w:t>
            </w:r>
          </w:p>
          <w:p w:rsidR="00000000" w:rsidRPr="00ED2138" w:rsidP="00ED2138">
            <w:pPr>
              <w:pStyle w:val="ListBullet"/>
            </w:pPr>
            <w:r w:rsidRPr="00ED2138">
              <w:t>requirements of different shutdowns as appropriate to the blending or mixing process and wo</w:t>
            </w:r>
            <w:r w:rsidRPr="00ED2138">
              <w:t>rkplace production requirements, including emergency and routine shutdowns and procedures to follow in the event of a power outage</w:t>
            </w:r>
          </w:p>
          <w:p w:rsidR="00000000" w:rsidRPr="00ED2138" w:rsidP="00ED2138">
            <w:pPr>
              <w:pStyle w:val="ListBullet"/>
            </w:pPr>
            <w:r w:rsidRPr="00ED2138">
              <w:t>product or process changeover procedures and responsibilities</w:t>
            </w:r>
          </w:p>
          <w:p w:rsidR="00000000" w:rsidRPr="00ED2138" w:rsidP="00ED2138">
            <w:pPr>
              <w:pStyle w:val="ListBullet"/>
            </w:pPr>
            <w:r w:rsidRPr="00ED2138">
              <w:t>isolation, lock out and tag out procedures and responsibilities</w:t>
            </w:r>
          </w:p>
          <w:p w:rsidR="00000000" w:rsidRPr="00ED2138" w:rsidP="00ED2138">
            <w:pPr>
              <w:pStyle w:val="ListBullet"/>
            </w:pPr>
            <w:r w:rsidRPr="00ED2138">
              <w:t>procedures and responsibility for reporting production and performance information</w:t>
            </w:r>
          </w:p>
          <w:p w:rsidR="00000000" w:rsidRPr="00ED2138" w:rsidP="00ED2138">
            <w:pPr>
              <w:pStyle w:val="ListBullet"/>
            </w:pPr>
            <w:r w:rsidRPr="00ED2138">
              <w:t xml:space="preserve">environmental issues and controls relevant to the mixing or blending process, including waste or rework collection and handling procedures related to the process </w:t>
            </w:r>
          </w:p>
          <w:p w:rsidR="00000000" w:rsidRPr="00ED2138" w:rsidP="00ED2138">
            <w:pPr>
              <w:pStyle w:val="ListBullet"/>
            </w:pPr>
            <w:r w:rsidRPr="00ED2138">
              <w:t xml:space="preserve">basic operating principles of process control, where relevant, including the relationship between control panels and systems and the physical equipment </w:t>
            </w:r>
          </w:p>
          <w:p w:rsidR="00000000" w:rsidRPr="00ED2138" w:rsidP="00ED2138">
            <w:pPr>
              <w:pStyle w:val="ListBullet"/>
            </w:pPr>
            <w:r w:rsidRPr="00ED2138">
              <w:t>characteristics of solutions, suspensions and emulsions where relevant</w:t>
            </w:r>
          </w:p>
          <w:p w:rsidR="00000000" w:rsidRPr="00ED2138" w:rsidP="00ED2138">
            <w:pPr>
              <w:pStyle w:val="ListBullet"/>
            </w:pPr>
            <w:r w:rsidRPr="00ED2138">
              <w:t xml:space="preserve">sampling and testing associated </w:t>
            </w:r>
            <w:r w:rsidRPr="00ED2138">
              <w:t>with process monitoring and control where relevant</w:t>
            </w:r>
          </w:p>
          <w:p w:rsidR="00000000" w:rsidRPr="00ED2138" w:rsidP="00ED2138">
            <w:pPr>
              <w:pStyle w:val="ListBullet"/>
            </w:pPr>
            <w:r w:rsidRPr="00ED2138">
              <w:t>product labelling and storage requirements where relevant</w:t>
            </w:r>
          </w:p>
          <w:p w:rsidR="00000000" w:rsidRPr="00ED2138" w:rsidP="00ED2138">
            <w:pPr>
              <w:pStyle w:val="ListBullet"/>
            </w:pPr>
            <w:r w:rsidRPr="00ED2138">
              <w:t>routine maintenance procedures where relevant</w:t>
            </w:r>
          </w:p>
          <w:p w:rsidR="00000000" w:rsidRPr="00ED2138" w:rsidP="00ED2138">
            <w:pPr>
              <w:pStyle w:val="ListBullet"/>
            </w:pPr>
            <w:r w:rsidRPr="00ED2138">
              <w:t xml:space="preserve">cleaning and sanitation procedures where relevant </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10" w:name="O_75360"/>
      <w:bookmarkEnd w:id="10"/>
      <w:r w:rsidRPr="00ED2138">
        <w:t>Evidence Guide</w:t>
      </w:r>
    </w:p>
    <w:tbl>
      <w:tblPr>
        <w:tblW w:w="9570" w:type="dxa"/>
        <w:tblLayout w:type="fixed"/>
        <w:tblCellMar>
          <w:left w:w="62" w:type="dxa"/>
          <w:right w:w="62" w:type="dxa"/>
        </w:tblCellMar>
        <w:tblLook w:val="0000"/>
      </w:tblPr>
      <w:tblGrid>
        <w:gridCol w:w="3908"/>
        <w:gridCol w:w="5662"/>
      </w:tblGrid>
      <w:tr w:rsidTr="004575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EVIDENCE GUIDE</w:t>
            </w:r>
          </w:p>
        </w:tc>
      </w:tr>
      <w:tr w:rsidTr="004575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The Evidence Guide provides advice on assessment and must be read in conjunction with the performance criteria, required skills and knowledge, range statement and the Assessment Guidelines for the Training Package.</w:t>
            </w:r>
          </w:p>
        </w:tc>
      </w:tr>
      <w:tr w:rsidTr="004575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 xml:space="preserve">Assessment must </w:t>
            </w:r>
            <w:r w:rsidRPr="00ED2138">
              <w:t>be carried out in a manner that recognises the cultural and literacy requirements of the assessee and is appropriate to the work performed. Competence in this unit must be achieved in accordance with food safety standards and regulations.</w:t>
            </w:r>
          </w:p>
        </w:tc>
      </w:tr>
      <w:tr w:rsidTr="004575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Critical aspects</w:t>
            </w:r>
            <w:r w:rsidRPr="00ED213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Evidence of ability to:</w:t>
            </w:r>
          </w:p>
          <w:p w:rsidR="00000000" w:rsidRPr="00ED2138" w:rsidP="00ED2138">
            <w:pPr>
              <w:pStyle w:val="ListBullet"/>
            </w:pPr>
            <w:r w:rsidRPr="00ED2138">
              <w:t>prepare premixes for mixing or blending</w:t>
            </w:r>
          </w:p>
          <w:p w:rsidR="00000000" w:rsidRPr="00ED2138" w:rsidP="00ED2138">
            <w:pPr>
              <w:pStyle w:val="ListBullet"/>
            </w:pPr>
            <w:r w:rsidRPr="00ED2138">
              <w:t>conduct pre-start checks on machinery used for mixing or blending</w:t>
            </w:r>
          </w:p>
          <w:p w:rsidR="00000000" w:rsidRPr="00ED2138" w:rsidP="00ED2138">
            <w:pPr>
              <w:pStyle w:val="ListBullet"/>
            </w:pPr>
            <w:r w:rsidRPr="00ED2138">
              <w:t>start, operate, monitor and adjust process equipment to achieve required quality outcomes</w:t>
            </w:r>
          </w:p>
          <w:p w:rsidR="00000000" w:rsidRPr="00ED2138" w:rsidP="00ED2138">
            <w:pPr>
              <w:pStyle w:val="ListBullet"/>
            </w:pPr>
            <w:r w:rsidRPr="00ED2138">
              <w:t>take corrective action in response to typical faults and inconsistencies</w:t>
            </w:r>
          </w:p>
          <w:p w:rsidR="00000000" w:rsidRPr="00ED2138" w:rsidP="00ED2138">
            <w:pPr>
              <w:pStyle w:val="ListBullet"/>
            </w:pPr>
            <w:r w:rsidRPr="00ED2138">
              <w:t>complete workplace records as required</w:t>
            </w:r>
          </w:p>
          <w:p w:rsidR="00000000" w:rsidRPr="00ED2138" w:rsidP="00ED2138">
            <w:pPr>
              <w:pStyle w:val="ListBullet"/>
            </w:pPr>
            <w:r w:rsidRPr="00ED2138">
              <w:t>apply safe work practices and identify OHS hazards and</w:t>
            </w:r>
            <w:r w:rsidRPr="00ED2138">
              <w:t xml:space="preserve"> controls</w:t>
            </w:r>
          </w:p>
          <w:p w:rsidR="00000000" w:rsidRPr="00ED2138" w:rsidP="00ED2138">
            <w:pPr>
              <w:pStyle w:val="ListBullet"/>
            </w:pPr>
            <w:r w:rsidRPr="00ED2138">
              <w:t>safely shut down equipment</w:t>
            </w:r>
          </w:p>
          <w:p w:rsidR="00000000" w:rsidP="00ED2138">
            <w:pPr>
              <w:pStyle w:val="ListBullet"/>
              <w:rPr>
                <w:lang w:val="en-NZ"/>
              </w:rPr>
            </w:pPr>
            <w:r w:rsidRPr="00ED2138">
              <w:t>apply food safety procedures.</w:t>
            </w:r>
          </w:p>
        </w:tc>
      </w:tr>
      <w:tr w:rsidTr="004575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Assessment must occur in a real or simulated workplace where the assessee has access to:</w:t>
            </w:r>
          </w:p>
          <w:p w:rsidR="00000000" w:rsidRPr="00ED2138" w:rsidP="00ED2138">
            <w:pPr>
              <w:pStyle w:val="ListBullet"/>
            </w:pPr>
            <w:r w:rsidRPr="00ED2138">
              <w:t>personal protective clothing and equipment</w:t>
            </w:r>
          </w:p>
          <w:p w:rsidR="00000000" w:rsidRPr="00ED2138" w:rsidP="00ED2138">
            <w:pPr>
              <w:pStyle w:val="ListBullet"/>
            </w:pPr>
            <w:r w:rsidRPr="00ED2138">
              <w:t>work p</w:t>
            </w:r>
            <w:r w:rsidRPr="00ED2138">
              <w:t>rocedures including advice on safe work practices, food safety, quality and environmental requirements, stock flow systems, production schedules, batch/recipe instructions</w:t>
            </w:r>
          </w:p>
          <w:p w:rsidR="00000000" w:rsidRPr="00ED2138" w:rsidP="00ED2138">
            <w:pPr>
              <w:pStyle w:val="ListBullet"/>
            </w:pPr>
            <w:r w:rsidRPr="00ED2138">
              <w:t>information on equipment capacity and operating parameters</w:t>
            </w:r>
          </w:p>
          <w:p w:rsidR="00000000" w:rsidRPr="00ED2138" w:rsidP="00ED2138">
            <w:pPr>
              <w:pStyle w:val="ListBullet"/>
            </w:pPr>
            <w:r w:rsidRPr="00ED2138">
              <w:t>production schedule/batch</w:t>
            </w:r>
            <w:r w:rsidRPr="00ED2138">
              <w:t>/recipe instructions</w:t>
            </w:r>
          </w:p>
          <w:p w:rsidR="00000000" w:rsidRPr="00ED2138" w:rsidP="00ED2138">
            <w:pPr>
              <w:pStyle w:val="ListBullet"/>
            </w:pPr>
            <w:r w:rsidRPr="00ED2138">
              <w:t>specifications, control points and processing parameters</w:t>
            </w:r>
          </w:p>
          <w:p w:rsidR="00000000" w:rsidRPr="00ED2138" w:rsidP="00ED2138">
            <w:pPr>
              <w:pStyle w:val="ListBullet"/>
            </w:pPr>
            <w:r w:rsidRPr="00ED2138">
              <w:t>mixing/blending process equipment, services and related storage facilities as required</w:t>
            </w:r>
          </w:p>
          <w:p w:rsidR="00000000" w:rsidRPr="00ED2138" w:rsidP="00ED2138">
            <w:pPr>
              <w:pStyle w:val="ListBullet"/>
            </w:pPr>
            <w:r w:rsidRPr="00ED2138">
              <w:t>ingredients and additives required for the mixing/blending process</w:t>
            </w:r>
          </w:p>
          <w:p w:rsidR="00000000" w:rsidRPr="00ED2138" w:rsidP="00ED2138">
            <w:pPr>
              <w:pStyle w:val="ListBullet"/>
            </w:pPr>
            <w:r w:rsidRPr="00ED2138">
              <w:t>sampling schedules and test procedures and equipment as required</w:t>
            </w:r>
          </w:p>
          <w:p w:rsidR="00000000" w:rsidP="00ED2138">
            <w:pPr>
              <w:pStyle w:val="ListBullet"/>
              <w:rPr>
                <w:lang w:val="en-NZ"/>
              </w:rPr>
            </w:pPr>
            <w:r w:rsidRPr="00ED2138">
              <w:t>cleaning procedures, materials and equipment as required.</w:t>
            </w:r>
          </w:p>
        </w:tc>
      </w:tr>
      <w:tr w:rsidTr="004575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This unit should be assessed together with core units and other units of competency relevant to the function or</w:t>
            </w:r>
            <w:r w:rsidRPr="00ED2138">
              <w:t xml:space="preserve"> work role. Examples could be:</w:t>
            </w:r>
          </w:p>
          <w:p w:rsidR="00000000" w:rsidRPr="00ED2138" w:rsidP="00ED2138">
            <w:pPr>
              <w:pStyle w:val="ListBullet"/>
            </w:pPr>
            <w:r w:rsidRPr="00ED2138">
              <w:t>FDFOP2003A Clean equipment in place</w:t>
            </w:r>
          </w:p>
          <w:p w:rsidR="00000000" w:rsidRPr="00ED2138" w:rsidP="00ED2138">
            <w:pPr>
              <w:pStyle w:val="ListBullet"/>
            </w:pPr>
            <w:r w:rsidRPr="00ED2138">
              <w:t xml:space="preserve">FDFOP2004A Clean and sanitise equipment </w:t>
            </w:r>
          </w:p>
          <w:p w:rsidR="00000000" w:rsidRPr="00ED2138" w:rsidP="00ED2138">
            <w:pPr>
              <w:pStyle w:val="ListBullet"/>
            </w:pPr>
            <w:r w:rsidRPr="00ED2138">
              <w:t>FDFOP2011A Conduct routine maintenance</w:t>
            </w:r>
          </w:p>
          <w:p w:rsidR="00000000" w:rsidRPr="00ED2138" w:rsidP="00ED2138">
            <w:pPr>
              <w:pStyle w:val="ListBullet"/>
            </w:pPr>
            <w:r w:rsidRPr="00ED2138">
              <w:t>FDFOP2013A Apply sampling procedures</w:t>
            </w:r>
          </w:p>
          <w:p w:rsidR="00000000" w:rsidRPr="00ED2138" w:rsidP="00ED2138">
            <w:pPr>
              <w:pStyle w:val="ListBullet"/>
            </w:pPr>
            <w:r w:rsidRPr="00ED2138">
              <w:t>FDFOP2030A Operate a process control interface</w:t>
            </w:r>
          </w:p>
          <w:p w:rsidR="00000000" w:rsidP="00ED2138">
            <w:pPr>
              <w:pStyle w:val="ListBullet"/>
              <w:rPr>
                <w:lang w:val="en-NZ"/>
              </w:rPr>
            </w:pPr>
            <w:r w:rsidRPr="00ED2138">
              <w:t>PMLTEST300B Perform basi</w:t>
            </w:r>
            <w:r w:rsidRPr="00ED2138">
              <w:t>c tests.</w:t>
            </w:r>
          </w:p>
        </w:tc>
      </w:tr>
      <w:tr w:rsidTr="004575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 xml:space="preserve">To ensure consistency in one's performance, competency should be demonstrated on more than one occasion over a period of time in order to cover </w:t>
            </w:r>
            <w:r w:rsidRPr="00ED2138">
              <w:t>a variety of circumstances, cases and responsibilities, and where possible, over a number of assessment activities.</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11" w:name="O_75361"/>
      <w:bookmarkEnd w:id="11"/>
      <w:r w:rsidRPr="00ED2138">
        <w:t>Range Statement</w:t>
      </w:r>
    </w:p>
    <w:tbl>
      <w:tblPr>
        <w:tblW w:w="0" w:type="auto"/>
        <w:tblLayout w:type="fixed"/>
        <w:tblCellMar>
          <w:left w:w="62" w:type="dxa"/>
          <w:right w:w="62" w:type="dxa"/>
        </w:tblCellMar>
        <w:tblLook w:val="0000"/>
      </w:tblPr>
      <w:tblGrid>
        <w:gridCol w:w="3502"/>
        <w:gridCol w:w="5020"/>
      </w:tblGrid>
      <w:tr w:rsidTr="004575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RANGE STATEMENT</w:t>
            </w:r>
          </w:p>
        </w:tc>
      </w:tr>
      <w:tr w:rsidTr="004575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The range statement relates to the unit of competency as a whole. It allows for different</w:t>
            </w:r>
            <w:r w:rsidRPr="00ED2138">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ED2138">
              <w:t>, needs of the candidate, accessibility of the item, and local industry and regional contexts) may also be included.</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t xml:space="preserve">Work is </w:t>
            </w:r>
            <w:r w:rsidRPr="00ED2138">
              <w:t>carried out according to company policies and procedures, regulatory and licensing requirements, legislative requirements, and industrial awards and agreements</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Legislative requirements are typica</w:t>
            </w:r>
            <w:r w:rsidRPr="00ED2138">
              <w:t>lly reflected in procedures and specifications. Legislation relevant to this industry includes:</w:t>
            </w:r>
          </w:p>
          <w:p w:rsidR="00000000" w:rsidRPr="00ED2138" w:rsidP="00ED2138">
            <w:pPr>
              <w:pStyle w:val="ListBullet"/>
            </w:pPr>
            <w:r w:rsidRPr="00ED2138">
              <w:t>the Food Standards Code, including labelling, weights and measures legislation</w:t>
            </w:r>
          </w:p>
          <w:p w:rsidR="00000000" w:rsidRPr="00ED2138" w:rsidP="00ED2138">
            <w:pPr>
              <w:pStyle w:val="ListBullet"/>
            </w:pPr>
            <w:r w:rsidRPr="00ED2138">
              <w:t>legislation covering food safety, environmental management, OHS, anti-discrimina</w:t>
            </w:r>
            <w:r w:rsidRPr="00ED2138">
              <w:t>tion and equal opportunity</w:t>
            </w:r>
          </w:p>
          <w:p w:rsidR="00000000" w:rsidP="00ED2138">
            <w:pPr>
              <w:pStyle w:val="BodyText"/>
              <w:rPr>
                <w:lang w:val="en-NZ"/>
              </w:rPr>
            </w:pPr>
            <w:r w:rsidRPr="00ED2138">
              <w:t xml:space="preserve">When applied to the pharmaceutical industry, relevant Good Manufacturing Practice (GMP) codes apply in place of the Food Standards Code and reference to food safety is replaced by GMP </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Workplace information may include:</w:t>
            </w:r>
          </w:p>
          <w:p w:rsidR="00000000" w:rsidRPr="00ED2138" w:rsidP="00ED2138">
            <w:pPr>
              <w:pStyle w:val="ListBullet"/>
            </w:pPr>
            <w:r w:rsidRPr="00ED2138">
              <w:t>standard operating procedures (SOPs)</w:t>
            </w:r>
          </w:p>
          <w:p w:rsidR="00000000" w:rsidRPr="00ED2138" w:rsidP="00ED2138">
            <w:pPr>
              <w:pStyle w:val="ListBullet"/>
            </w:pPr>
            <w:r w:rsidRPr="00ED2138">
              <w:t>specifications</w:t>
            </w:r>
          </w:p>
          <w:p w:rsidR="00000000" w:rsidRPr="00ED2138" w:rsidP="00ED2138">
            <w:pPr>
              <w:pStyle w:val="ListBullet"/>
            </w:pPr>
            <w:r w:rsidRPr="00ED2138">
              <w:t>production schedules and instructions</w:t>
            </w:r>
          </w:p>
          <w:p w:rsidR="00000000" w:rsidRPr="00ED2138" w:rsidP="00ED2138">
            <w:pPr>
              <w:pStyle w:val="ListBullet"/>
            </w:pPr>
            <w:r w:rsidRPr="00ED2138">
              <w:t>manufacturers' advice</w:t>
            </w:r>
          </w:p>
          <w:p w:rsidR="00000000" w:rsidRPr="00ED2138" w:rsidP="00ED2138">
            <w:pPr>
              <w:pStyle w:val="ListBullet"/>
            </w:pPr>
            <w:r w:rsidRPr="00ED2138">
              <w:t>consignment notes</w:t>
            </w:r>
          </w:p>
          <w:p w:rsidR="00000000" w:rsidRPr="00ED2138" w:rsidP="00ED2138">
            <w:pPr>
              <w:pStyle w:val="ListBullet"/>
            </w:pPr>
            <w:r w:rsidRPr="00ED2138">
              <w:t>verification procedures</w:t>
            </w:r>
          </w:p>
          <w:p w:rsidR="00000000" w:rsidP="00ED2138">
            <w:pPr>
              <w:pStyle w:val="ListBullet"/>
              <w:rPr>
                <w:lang w:val="en-NZ"/>
              </w:rPr>
            </w:pPr>
            <w:r w:rsidRPr="00ED2138">
              <w:t>standard forms and reports</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Mixing or blending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Equipment</w:t>
            </w:r>
            <w:r w:rsidRPr="00ED2138">
              <w:t xml:space="preserve"> typically includes:</w:t>
            </w:r>
          </w:p>
          <w:p w:rsidR="00000000" w:rsidRPr="00ED2138" w:rsidP="00ED2138">
            <w:pPr>
              <w:pStyle w:val="ListBullet"/>
            </w:pPr>
            <w:r w:rsidRPr="00ED2138">
              <w:t>measuring and weighing equipment, such as scales, load cells</w:t>
            </w:r>
          </w:p>
          <w:p w:rsidR="00000000" w:rsidRPr="00ED2138" w:rsidP="00ED2138">
            <w:pPr>
              <w:pStyle w:val="ListBullet"/>
            </w:pPr>
            <w:r w:rsidRPr="00ED2138">
              <w:t>dosing equipment</w:t>
            </w:r>
          </w:p>
          <w:p w:rsidR="00000000" w:rsidRPr="00ED2138" w:rsidP="00ED2138">
            <w:pPr>
              <w:pStyle w:val="ListBullet"/>
            </w:pPr>
            <w:r w:rsidRPr="00ED2138">
              <w:t>mixers</w:t>
            </w:r>
          </w:p>
          <w:p w:rsidR="00000000" w:rsidRPr="00ED2138" w:rsidP="00ED2138">
            <w:pPr>
              <w:pStyle w:val="ListBullet"/>
            </w:pPr>
            <w:r w:rsidRPr="00ED2138">
              <w:t>pumps</w:t>
            </w:r>
          </w:p>
          <w:p w:rsidR="00000000" w:rsidRPr="00ED2138" w:rsidP="00ED2138">
            <w:pPr>
              <w:pStyle w:val="ListBullet"/>
            </w:pPr>
            <w:r w:rsidRPr="00ED2138">
              <w:t>in-line homogenisers</w:t>
            </w:r>
          </w:p>
          <w:p w:rsidR="00000000" w:rsidRPr="00ED2138" w:rsidP="00ED2138">
            <w:pPr>
              <w:pStyle w:val="ListBullet"/>
            </w:pPr>
            <w:r w:rsidRPr="00ED2138">
              <w:t>conveyors</w:t>
            </w:r>
          </w:p>
          <w:p w:rsidR="00000000" w:rsidRPr="00ED2138" w:rsidP="00ED2138">
            <w:pPr>
              <w:pStyle w:val="ListBullet"/>
            </w:pPr>
            <w:r w:rsidRPr="00ED2138">
              <w:t>bulk materials transfer and materials handling equipment</w:t>
            </w:r>
          </w:p>
          <w:p w:rsidR="00000000" w:rsidRPr="00ED2138" w:rsidP="00ED2138">
            <w:pPr>
              <w:pStyle w:val="ListBullet"/>
            </w:pPr>
            <w:r w:rsidRPr="00ED2138">
              <w:t>storage facilities</w:t>
            </w:r>
          </w:p>
          <w:p w:rsidR="00000000" w:rsidRPr="00ED2138" w:rsidP="00ED2138">
            <w:pPr>
              <w:pStyle w:val="BodyText"/>
            </w:pPr>
            <w:r w:rsidRPr="00ED2138">
              <w:t>Common mixer types include:</w:t>
            </w:r>
          </w:p>
          <w:p w:rsidR="00000000" w:rsidP="00ED2138">
            <w:pPr>
              <w:pStyle w:val="ListBullet"/>
              <w:rPr>
                <w:lang w:val="en-NZ"/>
              </w:rPr>
            </w:pPr>
            <w:r w:rsidRPr="00ED2138">
              <w:t>ribbon and vertical screw mixers/conveyors</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Mixes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Mixes typically includes:</w:t>
            </w:r>
          </w:p>
          <w:p w:rsidR="00000000" w:rsidRPr="00ED2138" w:rsidP="00ED2138">
            <w:pPr>
              <w:pStyle w:val="ListBullet"/>
            </w:pPr>
            <w:r w:rsidRPr="00ED2138">
              <w:t>concentrated pre-mixes</w:t>
            </w:r>
          </w:p>
          <w:p w:rsidR="00000000" w:rsidRPr="00ED2138" w:rsidP="00ED2138">
            <w:pPr>
              <w:pStyle w:val="ListBullet"/>
            </w:pPr>
            <w:r w:rsidRPr="00ED2138">
              <w:t>pastes and cocktails</w:t>
            </w:r>
          </w:p>
          <w:p w:rsidR="00000000" w:rsidRPr="00ED2138" w:rsidP="00ED2138">
            <w:pPr>
              <w:pStyle w:val="ListBullet"/>
            </w:pPr>
            <w:r w:rsidRPr="00ED2138">
              <w:t>bulk mixes/blends</w:t>
            </w:r>
          </w:p>
          <w:p w:rsidR="00000000" w:rsidRPr="00ED2138" w:rsidP="00ED2138">
            <w:pPr>
              <w:pStyle w:val="BodyText"/>
            </w:pPr>
            <w:r w:rsidRPr="00ED2138">
              <w:t>Materials may include:</w:t>
            </w:r>
          </w:p>
          <w:p w:rsidR="00000000" w:rsidP="00ED2138">
            <w:pPr>
              <w:pStyle w:val="ListBullet"/>
              <w:rPr>
                <w:lang w:val="en-NZ"/>
              </w:rPr>
            </w:pPr>
            <w:r w:rsidRPr="00ED2138">
              <w:t xml:space="preserve">bulk and non-bulk ingredients and additives </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Processes</w:t>
            </w:r>
            <w:r w:rsidRPr="00ED2138">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Where this unit applies to preparation of dough, related processes may include:</w:t>
            </w:r>
          </w:p>
          <w:p w:rsidR="00000000" w:rsidRPr="00ED2138" w:rsidP="00ED2138">
            <w:pPr>
              <w:pStyle w:val="ListBullet"/>
            </w:pPr>
            <w:r w:rsidRPr="00ED2138">
              <w:t>extruding</w:t>
            </w:r>
          </w:p>
          <w:p w:rsidR="00000000" w:rsidRPr="00ED2138" w:rsidP="00ED2138">
            <w:pPr>
              <w:pStyle w:val="ListBullet"/>
            </w:pPr>
            <w:r w:rsidRPr="00ED2138">
              <w:t>stamping</w:t>
            </w:r>
          </w:p>
          <w:p w:rsidR="00000000" w:rsidRPr="00ED2138" w:rsidP="00ED2138">
            <w:pPr>
              <w:pStyle w:val="ListBullet"/>
            </w:pPr>
            <w:r w:rsidRPr="00ED2138">
              <w:t>cutting</w:t>
            </w:r>
          </w:p>
          <w:p w:rsidR="00000000" w:rsidRPr="00ED2138" w:rsidP="00ED2138">
            <w:pPr>
              <w:pStyle w:val="BodyText"/>
            </w:pPr>
            <w:r w:rsidRPr="00ED2138">
              <w:t>Where this unit applies to cake and confectionery mix preparation, related processes may include:</w:t>
            </w:r>
          </w:p>
          <w:p w:rsidR="00000000" w:rsidP="00ED2138">
            <w:pPr>
              <w:pStyle w:val="ListBullet"/>
              <w:rPr>
                <w:lang w:val="en-NZ"/>
              </w:rPr>
            </w:pPr>
            <w:r w:rsidRPr="00ED2138">
              <w:t>aeration</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Ingredient addition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Ingredient addition</w:t>
            </w:r>
            <w:r w:rsidRPr="00ED2138">
              <w:t xml:space="preserve"> may involve operation of:</w:t>
            </w:r>
          </w:p>
          <w:p w:rsidR="00000000" w:rsidRPr="00ED2138" w:rsidP="00ED2138">
            <w:pPr>
              <w:pStyle w:val="ListBullet"/>
            </w:pPr>
            <w:r w:rsidRPr="00ED2138">
              <w:t>automatic materials transfer equipment</w:t>
            </w:r>
          </w:p>
          <w:p w:rsidR="00000000" w:rsidP="00ED2138">
            <w:pPr>
              <w:pStyle w:val="ListBullet"/>
              <w:rPr>
                <w:lang w:val="en-NZ"/>
              </w:rPr>
            </w:pPr>
            <w:r w:rsidRPr="00ED2138">
              <w:t>dosing equipment and/or be manually loaded</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Operation of equipment and processes may require:</w:t>
            </w:r>
          </w:p>
          <w:p w:rsidR="00000000" w:rsidP="00ED2138">
            <w:pPr>
              <w:pStyle w:val="ListBullet"/>
              <w:rPr>
                <w:lang w:val="en-NZ"/>
              </w:rPr>
            </w:pPr>
            <w:r w:rsidRPr="00ED2138">
              <w:t>the use of process control panels and systems</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Shutdown procedures may include:</w:t>
            </w:r>
          </w:p>
          <w:p w:rsidR="00000000" w:rsidP="00ED2138">
            <w:pPr>
              <w:pStyle w:val="ListBullet"/>
              <w:rPr>
                <w:lang w:val="en-NZ"/>
              </w:rPr>
            </w:pPr>
            <w:r w:rsidRPr="00ED2138">
              <w:t>cleaning (in some cases cleaning may be carried out by a dedicated cleaning crew)</w:t>
            </w:r>
          </w:p>
        </w:tc>
      </w:tr>
      <w:tr w:rsidTr="0045755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Services are appropriate to the process to be operated. Typical examples include:</w:t>
            </w:r>
          </w:p>
          <w:p w:rsidR="00000000" w:rsidRPr="00ED2138" w:rsidP="00ED2138">
            <w:pPr>
              <w:pStyle w:val="ListBullet"/>
            </w:pPr>
            <w:r w:rsidRPr="00ED2138">
              <w:t xml:space="preserve">power </w:t>
            </w:r>
          </w:p>
          <w:p w:rsidR="00000000" w:rsidRPr="00ED2138" w:rsidP="00ED2138">
            <w:pPr>
              <w:pStyle w:val="ListBullet"/>
            </w:pPr>
            <w:r w:rsidRPr="00ED2138">
              <w:t>steam</w:t>
            </w:r>
          </w:p>
          <w:p w:rsidR="00000000" w:rsidRPr="00ED2138" w:rsidP="00ED2138">
            <w:pPr>
              <w:pStyle w:val="ListBullet"/>
            </w:pPr>
            <w:r w:rsidRPr="00ED2138">
              <w:t>fuel</w:t>
            </w:r>
          </w:p>
          <w:p w:rsidR="00000000" w:rsidRPr="00ED2138" w:rsidP="00ED2138">
            <w:pPr>
              <w:pStyle w:val="ListBullet"/>
            </w:pPr>
            <w:r w:rsidRPr="00ED2138">
              <w:t>vacuum</w:t>
            </w:r>
          </w:p>
          <w:p w:rsidR="00000000" w:rsidRPr="00ED2138" w:rsidP="00ED2138">
            <w:pPr>
              <w:pStyle w:val="ListBullet"/>
            </w:pPr>
            <w:r w:rsidRPr="00ED2138">
              <w:t>co</w:t>
            </w:r>
            <w:r w:rsidRPr="00ED2138">
              <w:t>mpressed and instrumentation air</w:t>
            </w:r>
          </w:p>
        </w:tc>
      </w:tr>
    </w:tbl>
    <w:p w:rsidR="00457556" w:rsidP="00ED2138">
      <w:pPr>
        <w:pStyle w:val="BodyText"/>
      </w:pPr>
    </w:p>
    <w:p w:rsidR="00457556" w:rsidP="00ED2138">
      <w:pPr>
        <w:pStyle w:val="BodyText"/>
      </w:pPr>
    </w:p>
    <w:p w:rsidR="00000000" w:rsidRPr="00ED2138" w:rsidP="00ED2138">
      <w:pPr>
        <w:pStyle w:val="Heading1"/>
      </w:pPr>
      <w:bookmarkStart w:id="12" w:name="O_75362"/>
      <w:bookmarkEnd w:id="12"/>
      <w:r w:rsidRPr="00ED2138">
        <w:t>Unit Sector(s)</w:t>
      </w:r>
    </w:p>
    <w:tbl>
      <w:tblPr>
        <w:tblW w:w="0" w:type="auto"/>
        <w:tblLayout w:type="fixed"/>
        <w:tblCellMar>
          <w:left w:w="62" w:type="dxa"/>
          <w:right w:w="62" w:type="dxa"/>
        </w:tblCellMar>
        <w:tblLook w:val="0000"/>
      </w:tblPr>
      <w:tblGrid>
        <w:gridCol w:w="2606"/>
        <w:gridCol w:w="5916"/>
      </w:tblGrid>
      <w:tr w:rsidTr="0045755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r w:rsidRPr="00ED2138">
              <w:t>Operational</w:t>
            </w: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13" w:name="O_155801"/>
      <w:bookmarkEnd w:id="13"/>
      <w:r w:rsidRPr="00ED2138">
        <w:t>Competency field</w:t>
      </w:r>
    </w:p>
    <w:tbl>
      <w:tblPr>
        <w:tblW w:w="0" w:type="auto"/>
        <w:tblLayout w:type="fixed"/>
        <w:tblCellMar>
          <w:left w:w="62" w:type="dxa"/>
          <w:right w:w="62" w:type="dxa"/>
        </w:tblCellMar>
        <w:tblLook w:val="0000"/>
      </w:tblPr>
      <w:tblGrid>
        <w:gridCol w:w="2784"/>
        <w:gridCol w:w="5738"/>
      </w:tblGrid>
      <w:tr w:rsidTr="004575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p>
        </w:tc>
      </w:tr>
    </w:tbl>
    <w:p w:rsidR="00000000" w:rsidRPr="00ED2138" w:rsidP="00ED2138">
      <w:pPr>
        <w:pStyle w:val="BodyText"/>
      </w:pPr>
    </w:p>
    <w:p w:rsidR="00000000" w:rsidRPr="00ED2138" w:rsidP="00ED2138">
      <w:pPr>
        <w:pStyle w:val="AllowPageBreak"/>
      </w:pPr>
    </w:p>
    <w:p w:rsidR="00000000" w:rsidRPr="00ED2138" w:rsidP="00ED2138">
      <w:pPr>
        <w:pStyle w:val="Heading1"/>
      </w:pPr>
      <w:bookmarkStart w:id="14" w:name="O_155800"/>
      <w:bookmarkEnd w:id="14"/>
      <w:r w:rsidRPr="00ED2138">
        <w:t>Co-requisite units</w:t>
      </w:r>
    </w:p>
    <w:tbl>
      <w:tblPr>
        <w:tblW w:w="0" w:type="auto"/>
        <w:tblLayout w:type="fixed"/>
        <w:tblCellMar>
          <w:left w:w="62" w:type="dxa"/>
          <w:right w:w="62" w:type="dxa"/>
        </w:tblCellMar>
        <w:tblLook w:val="0000"/>
      </w:tblPr>
      <w:tblGrid>
        <w:gridCol w:w="2641"/>
        <w:gridCol w:w="1322"/>
        <w:gridCol w:w="4559"/>
      </w:tblGrid>
      <w:tr w:rsidTr="004575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r w:rsidRPr="00ED21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p>
        </w:tc>
      </w:tr>
      <w:tr w:rsidTr="004575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38">
            <w:pPr>
              <w:pStyle w:val="BodyText"/>
              <w:rPr>
                <w:lang w:val="en-NZ"/>
              </w:rPr>
            </w:pPr>
          </w:p>
        </w:tc>
      </w:tr>
      <w:tr w:rsidTr="004575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38" w:rsidP="00ED2138">
            <w:pPr>
              <w:pStyle w:val="BodyText"/>
            </w:pPr>
          </w:p>
        </w:tc>
      </w:tr>
    </w:tbl>
    <w:p w:rsidR="00000000" w:rsidRPr="00ED2138" w:rsidP="00ED2138">
      <w:pPr>
        <w:pStyle w:val="BodyText"/>
      </w:pPr>
    </w:p>
    <w:p w:rsidR="00000000" w:rsidRPr="00ED2138" w:rsidP="00ED2138"/>
    <w:sectPr w:rsidSect="00ED2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556" w:rsidP="00457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56" w:rsidP="00ED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7556" w:rsidP="00ED21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57556" w:rsidP="00ED21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556" w:rsidP="004575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56" w:rsidP="00ED2138">
    <w:pPr>
      <w:pStyle w:val="Header"/>
      <w:framePr w:wrap="around"/>
    </w:pPr>
    <w:r>
      <w:fldChar w:fldCharType="begin"/>
    </w:r>
    <w:r>
      <w:instrText xml:space="preserve"> TITLE   \* MERGEFORMAT </w:instrText>
    </w:r>
    <w:r>
      <w:fldChar w:fldCharType="separate"/>
    </w:r>
    <w:r>
      <w:t>FDFOP2028A Operate a mixing or blending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7556" w:rsidP="00ED21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72A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0A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A3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138"/>
    <w:pPr>
      <w:spacing w:before="360" w:after="60"/>
      <w:outlineLvl w:val="0"/>
    </w:pPr>
    <w:rPr>
      <w:sz w:val="32"/>
    </w:rPr>
  </w:style>
  <w:style w:type="paragraph" w:styleId="Heading2">
    <w:name w:val="heading 2"/>
    <w:basedOn w:val="HeadingBase"/>
    <w:next w:val="BodyText"/>
    <w:link w:val="Heading2Char"/>
    <w:qFormat/>
    <w:rsid w:val="00ED2138"/>
    <w:pPr>
      <w:keepLines/>
      <w:spacing w:before="240" w:after="120"/>
      <w:outlineLvl w:val="1"/>
    </w:pPr>
    <w:rPr>
      <w:sz w:val="28"/>
      <w:szCs w:val="40"/>
    </w:rPr>
  </w:style>
  <w:style w:type="paragraph" w:styleId="Heading3">
    <w:name w:val="heading 3"/>
    <w:basedOn w:val="HeadingBase"/>
    <w:next w:val="BodyText"/>
    <w:link w:val="Heading3Char"/>
    <w:qFormat/>
    <w:rsid w:val="00ED2138"/>
    <w:pPr>
      <w:spacing w:before="180" w:after="120"/>
      <w:outlineLvl w:val="2"/>
    </w:pPr>
    <w:rPr>
      <w:spacing w:val="-10"/>
      <w:kern w:val="32"/>
    </w:rPr>
  </w:style>
  <w:style w:type="paragraph" w:styleId="Heading4">
    <w:name w:val="heading 4"/>
    <w:basedOn w:val="HeadingBase"/>
    <w:next w:val="BodyText"/>
    <w:link w:val="Heading4Char"/>
    <w:qFormat/>
    <w:rsid w:val="00ED2138"/>
    <w:pPr>
      <w:spacing w:before="160" w:after="120"/>
      <w:outlineLvl w:val="3"/>
    </w:pPr>
    <w:rPr>
      <w:sz w:val="22"/>
    </w:rPr>
  </w:style>
  <w:style w:type="paragraph" w:styleId="Heading5">
    <w:name w:val="heading 5"/>
    <w:basedOn w:val="HeadingBase"/>
    <w:next w:val="Normal"/>
    <w:link w:val="Heading5Char"/>
    <w:qFormat/>
    <w:rsid w:val="00ED2138"/>
    <w:pPr>
      <w:spacing w:before="80"/>
      <w:outlineLvl w:val="4"/>
    </w:pPr>
    <w:rPr>
      <w:color w:val="918585"/>
      <w:sz w:val="20"/>
    </w:rPr>
  </w:style>
  <w:style w:type="paragraph" w:styleId="Heading6">
    <w:name w:val="heading 6"/>
    <w:basedOn w:val="HeadingBase"/>
    <w:next w:val="Normal"/>
    <w:link w:val="Heading6Char"/>
    <w:qFormat/>
    <w:rsid w:val="00ED2138"/>
    <w:pPr>
      <w:spacing w:before="60"/>
      <w:outlineLvl w:val="5"/>
    </w:pPr>
    <w:rPr>
      <w:color w:val="918585"/>
      <w:sz w:val="20"/>
    </w:rPr>
  </w:style>
  <w:style w:type="paragraph" w:styleId="Heading7">
    <w:name w:val="heading 7"/>
    <w:basedOn w:val="Normal"/>
    <w:next w:val="Normal"/>
    <w:link w:val="Heading7Char"/>
    <w:qFormat/>
    <w:rsid w:val="00ED2138"/>
    <w:pPr>
      <w:ind w:left="720"/>
      <w:outlineLvl w:val="6"/>
    </w:pPr>
    <w:rPr>
      <w:i/>
    </w:rPr>
  </w:style>
  <w:style w:type="paragraph" w:styleId="Heading8">
    <w:name w:val="heading 8"/>
    <w:basedOn w:val="Normal"/>
    <w:next w:val="Normal"/>
    <w:link w:val="Heading8Char"/>
    <w:qFormat/>
    <w:rsid w:val="00ED2138"/>
    <w:pPr>
      <w:ind w:left="720"/>
      <w:outlineLvl w:val="7"/>
    </w:pPr>
    <w:rPr>
      <w:i/>
    </w:rPr>
  </w:style>
  <w:style w:type="paragraph" w:styleId="Heading9">
    <w:name w:val="heading 9"/>
    <w:basedOn w:val="Normal"/>
    <w:next w:val="Normal"/>
    <w:link w:val="Heading9Char"/>
    <w:qFormat/>
    <w:rsid w:val="00ED2138"/>
    <w:pPr>
      <w:ind w:left="720"/>
      <w:outlineLvl w:val="8"/>
    </w:pPr>
    <w:rPr>
      <w:i/>
    </w:rPr>
  </w:style>
  <w:style w:type="character" w:default="1" w:styleId="DefaultParagraphFont">
    <w:name w:val="Default Paragraph Font"/>
    <w:uiPriority w:val="1"/>
    <w:unhideWhenUsed/>
    <w:rsid w:val="00ED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138"/>
  </w:style>
  <w:style w:type="character" w:customStyle="1" w:styleId="Heading1Char">
    <w:name w:val="Heading 1 Char"/>
    <w:link w:val="Heading1"/>
    <w:rsid w:val="00ED2138"/>
    <w:rPr>
      <w:rFonts w:ascii="Times New Roman" w:eastAsia="Times New Roman" w:hAnsi="Times New Roman" w:cs="Times New Roman"/>
      <w:b/>
      <w:sz w:val="32"/>
      <w:szCs w:val="20"/>
      <w:lang w:eastAsia="en-US"/>
    </w:rPr>
  </w:style>
  <w:style w:type="paragraph" w:styleId="BodyText">
    <w:name w:val="Body Text"/>
    <w:basedOn w:val="Normal"/>
    <w:link w:val="BodyTextChar"/>
    <w:rsid w:val="00ED2138"/>
    <w:pPr>
      <w:spacing w:before="120" w:after="120"/>
      <w:contextualSpacing/>
    </w:pPr>
    <w:rPr>
      <w:rFonts w:ascii="Times New Roman" w:hAnsi="Times New Roman"/>
      <w:sz w:val="24"/>
      <w:szCs w:val="22"/>
    </w:rPr>
  </w:style>
  <w:style w:type="character" w:customStyle="1" w:styleId="BodyTextChar">
    <w:name w:val="Body Text Char"/>
    <w:link w:val="BodyText"/>
    <w:rsid w:val="00ED2138"/>
    <w:rPr>
      <w:rFonts w:ascii="Times New Roman" w:eastAsia="Times New Roman" w:hAnsi="Times New Roman" w:cs="Times New Roman"/>
      <w:sz w:val="24"/>
      <w:lang w:val="en-US" w:eastAsia="en-US"/>
    </w:rPr>
  </w:style>
  <w:style w:type="paragraph" w:styleId="Footer">
    <w:name w:val="footer"/>
    <w:basedOn w:val="Normal"/>
    <w:link w:val="FooterChar"/>
    <w:rsid w:val="00ED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2138"/>
    <w:rPr>
      <w:rFonts w:ascii="Times New Roman" w:eastAsia="Times New Roman" w:hAnsi="Times New Roman" w:cs="Times New Roman"/>
      <w:sz w:val="16"/>
      <w:lang w:val="en-US" w:eastAsia="en-US"/>
    </w:rPr>
  </w:style>
  <w:style w:type="paragraph" w:styleId="List">
    <w:name w:val="List"/>
    <w:basedOn w:val="BodyText"/>
    <w:next w:val="BodyText"/>
    <w:rsid w:val="00ED2138"/>
    <w:pPr>
      <w:tabs>
        <w:tab w:val="left" w:pos="340"/>
      </w:tabs>
      <w:spacing w:before="60" w:after="60"/>
      <w:ind w:left="340" w:hanging="340"/>
    </w:pPr>
  </w:style>
  <w:style w:type="paragraph" w:styleId="ListBullet">
    <w:name w:val="List Bullet"/>
    <w:basedOn w:val="List"/>
    <w:rsid w:val="00ED2138"/>
    <w:pPr>
      <w:numPr>
        <w:numId w:val="13"/>
      </w:numPr>
      <w:tabs>
        <w:tab w:val="clear" w:pos="340"/>
      </w:tabs>
      <w:spacing w:before="40" w:after="40"/>
    </w:pPr>
  </w:style>
  <w:style w:type="character" w:customStyle="1" w:styleId="SpecialBold">
    <w:name w:val="Special Bold"/>
    <w:rsid w:val="00ED2138"/>
    <w:rPr>
      <w:b/>
      <w:spacing w:val="0"/>
    </w:rPr>
  </w:style>
  <w:style w:type="paragraph" w:styleId="ListBullet2">
    <w:name w:val="List Bullet 2"/>
    <w:basedOn w:val="List2"/>
    <w:rsid w:val="00ED2138"/>
    <w:pPr>
      <w:numPr>
        <w:numId w:val="14"/>
      </w:numPr>
      <w:tabs>
        <w:tab w:val="clear" w:pos="680"/>
      </w:tabs>
    </w:pPr>
  </w:style>
  <w:style w:type="paragraph" w:styleId="Header">
    <w:name w:val="header"/>
    <w:basedOn w:val="Normal"/>
    <w:link w:val="HeaderChar"/>
    <w:rsid w:val="00ED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21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2138"/>
    <w:pPr>
      <w:spacing w:before="240" w:after="120"/>
      <w:outlineLvl w:val="0"/>
    </w:pPr>
    <w:rPr>
      <w:rFonts w:ascii="Times New Roman" w:hAnsi="Times New Roman"/>
      <w:b/>
      <w:sz w:val="28"/>
    </w:rPr>
  </w:style>
  <w:style w:type="paragraph" w:customStyle="1" w:styleId="AllowPageBreak">
    <w:name w:val="AllowPageBreak"/>
    <w:rsid w:val="00ED21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2138"/>
    <w:pPr>
      <w:tabs>
        <w:tab w:val="left" w:pos="680"/>
      </w:tabs>
      <w:spacing w:before="60" w:after="60"/>
      <w:ind w:left="680" w:hanging="340"/>
    </w:pPr>
  </w:style>
  <w:style w:type="character" w:customStyle="1" w:styleId="BoldandItalics">
    <w:name w:val="Bold and Italics"/>
    <w:qFormat/>
    <w:rsid w:val="00ED2138"/>
    <w:rPr>
      <w:b/>
      <w:i/>
      <w:u w:val="none"/>
    </w:rPr>
  </w:style>
  <w:style w:type="character" w:customStyle="1" w:styleId="Heading2Char">
    <w:name w:val="Heading 2 Char"/>
    <w:link w:val="Heading2"/>
    <w:rsid w:val="00ED2138"/>
    <w:rPr>
      <w:rFonts w:ascii="Times New Roman" w:eastAsia="Times New Roman" w:hAnsi="Times New Roman" w:cs="Times New Roman"/>
      <w:b/>
      <w:sz w:val="28"/>
      <w:szCs w:val="40"/>
      <w:lang w:eastAsia="en-US"/>
    </w:rPr>
  </w:style>
  <w:style w:type="character" w:customStyle="1" w:styleId="Heading3Char">
    <w:name w:val="Heading 3 Char"/>
    <w:link w:val="Heading3"/>
    <w:rsid w:val="00ED21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2138"/>
    <w:rPr>
      <w:rFonts w:ascii="Times New Roman" w:eastAsia="Times New Roman" w:hAnsi="Times New Roman" w:cs="Times New Roman"/>
      <w:b/>
      <w:szCs w:val="20"/>
      <w:lang w:eastAsia="en-US"/>
    </w:rPr>
  </w:style>
  <w:style w:type="character" w:customStyle="1" w:styleId="Heading5Char">
    <w:name w:val="Heading 5 Char"/>
    <w:link w:val="Heading5"/>
    <w:rsid w:val="00ED21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1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1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138"/>
    <w:rPr>
      <w:rFonts w:ascii="Courier New" w:eastAsia="Times New Roman" w:hAnsi="Courier New" w:cs="Times New Roman"/>
      <w:i/>
      <w:szCs w:val="20"/>
      <w:lang w:val="en-US" w:eastAsia="en-US"/>
    </w:rPr>
  </w:style>
  <w:style w:type="paragraph" w:customStyle="1" w:styleId="HeadingBase">
    <w:name w:val="Heading Base"/>
    <w:rsid w:val="00ED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138"/>
    <w:pPr>
      <w:tabs>
        <w:tab w:val="right" w:leader="dot" w:pos="9072"/>
      </w:tabs>
      <w:ind w:left="567"/>
    </w:pPr>
    <w:rPr>
      <w:szCs w:val="22"/>
    </w:rPr>
  </w:style>
  <w:style w:type="paragraph" w:customStyle="1" w:styleId="TOCBase">
    <w:name w:val="TOC Base"/>
    <w:rsid w:val="00ED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138"/>
    <w:pPr>
      <w:tabs>
        <w:tab w:val="right" w:leader="dot" w:pos="9072"/>
      </w:tabs>
      <w:spacing w:before="40" w:after="40"/>
      <w:ind w:left="284"/>
    </w:pPr>
    <w:rPr>
      <w:rFonts w:ascii="Times New Roman" w:hAnsi="Times New Roman"/>
    </w:rPr>
  </w:style>
  <w:style w:type="paragraph" w:styleId="TOC1">
    <w:name w:val="toc 1"/>
    <w:basedOn w:val="TOCBase"/>
    <w:next w:val="Normal"/>
    <w:rsid w:val="00ED21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138"/>
    <w:pPr>
      <w:spacing w:before="5040"/>
      <w:jc w:val="center"/>
    </w:pPr>
    <w:rPr>
      <w:sz w:val="48"/>
      <w:szCs w:val="72"/>
      <w:lang w:val="en-US"/>
    </w:rPr>
  </w:style>
  <w:style w:type="character" w:customStyle="1" w:styleId="TitleChar">
    <w:name w:val="Title Char"/>
    <w:link w:val="Title"/>
    <w:rsid w:val="00ED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138"/>
    <w:pPr>
      <w:tabs>
        <w:tab w:val="left" w:pos="3600"/>
        <w:tab w:val="left" w:pos="3958"/>
      </w:tabs>
    </w:pPr>
  </w:style>
  <w:style w:type="paragraph" w:customStyle="1" w:styleId="Note">
    <w:name w:val="Note"/>
    <w:basedOn w:val="BodyText"/>
    <w:rsid w:val="00ED2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138"/>
    <w:pPr>
      <w:framePr w:wrap="auto" w:hAnchor="text" w:y="6049"/>
    </w:pPr>
    <w:rPr>
      <w:color w:val="000000"/>
      <w:sz w:val="40"/>
    </w:rPr>
  </w:style>
  <w:style w:type="paragraph" w:customStyle="1" w:styleId="TOCTitle">
    <w:name w:val="TOCTitle"/>
    <w:basedOn w:val="Heading1"/>
    <w:rsid w:val="00ED2138"/>
    <w:pPr>
      <w:spacing w:after="240"/>
      <w:jc w:val="center"/>
      <w:outlineLvl w:val="9"/>
    </w:pPr>
    <w:rPr>
      <w:caps/>
    </w:rPr>
  </w:style>
  <w:style w:type="paragraph" w:customStyle="1" w:styleId="Version">
    <w:name w:val="Version"/>
    <w:rsid w:val="00ED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138"/>
    <w:pPr>
      <w:keepNext w:val="0"/>
      <w:tabs>
        <w:tab w:val="right" w:pos="4176"/>
      </w:tabs>
      <w:ind w:left="198" w:hanging="198"/>
    </w:pPr>
    <w:rPr>
      <w:rFonts w:ascii="Garamond" w:hAnsi="Garamond"/>
    </w:rPr>
  </w:style>
  <w:style w:type="paragraph" w:styleId="IndexHeading">
    <w:name w:val="index heading"/>
    <w:basedOn w:val="Normal"/>
    <w:next w:val="Index1"/>
    <w:semiHidden/>
    <w:rsid w:val="00ED2138"/>
    <w:pPr>
      <w:spacing w:before="120" w:after="120"/>
    </w:pPr>
    <w:rPr>
      <w:rFonts w:ascii="Arial" w:hAnsi="Arial"/>
      <w:b/>
      <w:color w:val="918585"/>
      <w:sz w:val="24"/>
    </w:rPr>
  </w:style>
  <w:style w:type="paragraph" w:customStyle="1" w:styleId="Chapter">
    <w:name w:val="Chapter"/>
    <w:basedOn w:val="Normal"/>
    <w:rsid w:val="00ED2138"/>
    <w:pPr>
      <w:spacing w:before="240"/>
    </w:pPr>
    <w:rPr>
      <w:rFonts w:ascii="Times New Roman" w:hAnsi="Times New Roman"/>
      <w:smallCaps/>
      <w:spacing w:val="80"/>
      <w:sz w:val="28"/>
    </w:rPr>
  </w:style>
  <w:style w:type="paragraph" w:customStyle="1" w:styleId="InChapter">
    <w:name w:val="InChapter"/>
    <w:basedOn w:val="Heading3"/>
    <w:rsid w:val="00ED2138"/>
    <w:pPr>
      <w:spacing w:after="240"/>
      <w:outlineLvl w:val="9"/>
    </w:pPr>
    <w:rPr>
      <w:noProof/>
    </w:rPr>
  </w:style>
  <w:style w:type="paragraph" w:styleId="Index2">
    <w:name w:val="index 2"/>
    <w:basedOn w:val="Normal"/>
    <w:next w:val="Normal"/>
    <w:semiHidden/>
    <w:rsid w:val="00ED2138"/>
    <w:pPr>
      <w:tabs>
        <w:tab w:val="right" w:pos="4176"/>
      </w:tabs>
      <w:ind w:left="568" w:hanging="284"/>
    </w:pPr>
    <w:rPr>
      <w:rFonts w:ascii="Garamond" w:hAnsi="Garamond"/>
    </w:rPr>
  </w:style>
  <w:style w:type="paragraph" w:customStyle="1" w:styleId="Byline">
    <w:name w:val="Byline"/>
    <w:rsid w:val="00ED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138"/>
    <w:pPr>
      <w:tabs>
        <w:tab w:val="clear" w:pos="3600"/>
        <w:tab w:val="clear" w:pos="3958"/>
      </w:tabs>
      <w:jc w:val="right"/>
    </w:pPr>
  </w:style>
  <w:style w:type="character" w:styleId="Emphasis">
    <w:name w:val="Emphasis"/>
    <w:qFormat/>
    <w:rsid w:val="00ED2138"/>
    <w:rPr>
      <w:i/>
    </w:rPr>
  </w:style>
  <w:style w:type="paragraph" w:styleId="Caption">
    <w:name w:val="caption"/>
    <w:basedOn w:val="BodyText"/>
    <w:next w:val="Normal"/>
    <w:qFormat/>
    <w:rsid w:val="00ED2138"/>
    <w:pPr>
      <w:framePr w:w="2268" w:hSpace="181" w:vSpace="181" w:wrap="around" w:vAnchor="text" w:hAnchor="page" w:x="1135" w:y="285" w:anchorLock="1"/>
    </w:pPr>
    <w:rPr>
      <w:i/>
    </w:rPr>
  </w:style>
  <w:style w:type="paragraph" w:customStyle="1" w:styleId="MiniTOCTitle">
    <w:name w:val="MiniTOCTitle"/>
    <w:basedOn w:val="Heading4"/>
    <w:rsid w:val="00ED2138"/>
    <w:pPr>
      <w:spacing w:before="240"/>
      <w:outlineLvl w:val="9"/>
    </w:pPr>
    <w:rPr>
      <w:noProof/>
      <w:sz w:val="24"/>
    </w:rPr>
  </w:style>
  <w:style w:type="paragraph" w:customStyle="1" w:styleId="MiniTOCItem">
    <w:name w:val="MiniTOCItem"/>
    <w:basedOn w:val="ListBullet"/>
    <w:rsid w:val="00ED2138"/>
    <w:pPr>
      <w:numPr>
        <w:numId w:val="0"/>
      </w:numPr>
      <w:tabs>
        <w:tab w:val="right" w:leader="dot" w:pos="6521"/>
      </w:tabs>
      <w:spacing w:before="0" w:after="0"/>
    </w:pPr>
  </w:style>
  <w:style w:type="paragraph" w:customStyle="1" w:styleId="TOFTitle">
    <w:name w:val="TOFTitle"/>
    <w:basedOn w:val="TOCTitle"/>
    <w:rsid w:val="00ED2138"/>
  </w:style>
  <w:style w:type="paragraph" w:styleId="TableofFigures">
    <w:name w:val="table of figures"/>
    <w:basedOn w:val="Normal"/>
    <w:next w:val="Normal"/>
    <w:semiHidden/>
    <w:rsid w:val="00ED2138"/>
    <w:pPr>
      <w:tabs>
        <w:tab w:val="right" w:leader="dot" w:pos="9072"/>
      </w:tabs>
      <w:ind w:left="970" w:hanging="403"/>
    </w:pPr>
    <w:rPr>
      <w:rFonts w:ascii="Times New Roman" w:hAnsi="Times New Roman"/>
      <w:b/>
    </w:rPr>
  </w:style>
  <w:style w:type="paragraph" w:styleId="ListNumber">
    <w:name w:val="List Number"/>
    <w:basedOn w:val="List"/>
    <w:rsid w:val="00ED2138"/>
    <w:pPr>
      <w:numPr>
        <w:numId w:val="11"/>
      </w:numPr>
    </w:pPr>
  </w:style>
  <w:style w:type="character" w:customStyle="1" w:styleId="WingdingSymbols">
    <w:name w:val="Wingding Symbols"/>
    <w:rsid w:val="00ED2138"/>
    <w:rPr>
      <w:rFonts w:ascii="Wingdings" w:hAnsi="Wingdings"/>
    </w:rPr>
  </w:style>
  <w:style w:type="paragraph" w:customStyle="1" w:styleId="TableHeading">
    <w:name w:val="Table Heading"/>
    <w:basedOn w:val="HeadingBase"/>
    <w:rsid w:val="00ED2138"/>
    <w:pPr>
      <w:keepLines/>
      <w:pBdr>
        <w:bottom w:val="single" w:sz="6" w:space="1" w:color="918585"/>
      </w:pBdr>
      <w:spacing w:before="240"/>
    </w:pPr>
  </w:style>
  <w:style w:type="character" w:customStyle="1" w:styleId="HotSpot">
    <w:name w:val="HotSpot"/>
    <w:rsid w:val="00ED2138"/>
    <w:rPr>
      <w:color w:val="0033CC"/>
      <w:u w:val="none"/>
    </w:rPr>
  </w:style>
  <w:style w:type="paragraph" w:customStyle="1" w:styleId="BodyTextRight">
    <w:name w:val="Body Text Right"/>
    <w:basedOn w:val="BodyText"/>
    <w:rsid w:val="00ED2138"/>
    <w:pPr>
      <w:spacing w:before="0" w:after="0"/>
      <w:jc w:val="right"/>
    </w:pPr>
  </w:style>
  <w:style w:type="paragraph" w:styleId="Index3">
    <w:name w:val="index 3"/>
    <w:basedOn w:val="ListNumber2"/>
    <w:next w:val="Normal"/>
    <w:semiHidden/>
    <w:rsid w:val="00ED2138"/>
    <w:pPr>
      <w:numPr>
        <w:numId w:val="0"/>
      </w:numPr>
      <w:tabs>
        <w:tab w:val="right" w:leader="dot" w:pos="4176"/>
      </w:tabs>
    </w:pPr>
  </w:style>
  <w:style w:type="paragraph" w:styleId="ListNumber2">
    <w:name w:val="List Number 2"/>
    <w:basedOn w:val="List2"/>
    <w:rsid w:val="00ED2138"/>
    <w:pPr>
      <w:numPr>
        <w:numId w:val="10"/>
      </w:numPr>
      <w:tabs>
        <w:tab w:val="clear" w:pos="1060"/>
      </w:tabs>
    </w:pPr>
  </w:style>
  <w:style w:type="paragraph" w:customStyle="1" w:styleId="MarginNote">
    <w:name w:val="Margin Note"/>
    <w:basedOn w:val="BodyText"/>
    <w:rsid w:val="00ED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21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138"/>
    <w:rPr>
      <w:sz w:val="32"/>
    </w:rPr>
  </w:style>
  <w:style w:type="paragraph" w:customStyle="1" w:styleId="HeadingProcedure">
    <w:name w:val="Heading Procedure"/>
    <w:basedOn w:val="HeadingBase"/>
    <w:next w:val="Normal"/>
    <w:rsid w:val="00ED2138"/>
    <w:pPr>
      <w:tabs>
        <w:tab w:val="left" w:pos="0"/>
      </w:tabs>
      <w:spacing w:before="120" w:after="60"/>
    </w:pPr>
    <w:rPr>
      <w:i/>
      <w:color w:val="918585"/>
      <w:sz w:val="22"/>
    </w:rPr>
  </w:style>
  <w:style w:type="paragraph" w:customStyle="1" w:styleId="TableBodyText">
    <w:name w:val="Table Body Text"/>
    <w:basedOn w:val="BodyText"/>
    <w:rsid w:val="00ED2138"/>
    <w:pPr>
      <w:spacing w:before="60" w:after="60"/>
    </w:pPr>
  </w:style>
  <w:style w:type="paragraph" w:styleId="ListContinue">
    <w:name w:val="List Continue"/>
    <w:basedOn w:val="List"/>
    <w:rsid w:val="00ED2138"/>
    <w:pPr>
      <w:ind w:firstLine="0"/>
    </w:pPr>
  </w:style>
  <w:style w:type="paragraph" w:customStyle="1" w:styleId="ListNote">
    <w:name w:val="List Note"/>
    <w:basedOn w:val="List"/>
    <w:rsid w:val="00ED2138"/>
    <w:pPr>
      <w:pBdr>
        <w:top w:val="single" w:sz="6" w:space="2" w:color="918585"/>
        <w:bottom w:val="single" w:sz="6" w:space="2" w:color="918585"/>
      </w:pBdr>
      <w:tabs>
        <w:tab w:val="left" w:pos="1021"/>
      </w:tabs>
      <w:ind w:firstLine="0"/>
    </w:pPr>
  </w:style>
  <w:style w:type="paragraph" w:customStyle="1" w:styleId="Warning">
    <w:name w:val="Warning"/>
    <w:basedOn w:val="BodyText"/>
    <w:rsid w:val="00ED2138"/>
    <w:pPr>
      <w:shd w:val="clear" w:color="auto" w:fill="D9D9D9"/>
      <w:tabs>
        <w:tab w:val="left" w:pos="992"/>
      </w:tabs>
      <w:ind w:left="119" w:right="119"/>
    </w:pPr>
    <w:rPr>
      <w:sz w:val="20"/>
    </w:rPr>
  </w:style>
  <w:style w:type="paragraph" w:customStyle="1" w:styleId="MarginIcons">
    <w:name w:val="Margin Icons"/>
    <w:basedOn w:val="BodyText"/>
    <w:rsid w:val="00ED21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2138"/>
    <w:rPr>
      <w:rFonts w:ascii="Courier New" w:hAnsi="Courier New"/>
    </w:rPr>
  </w:style>
  <w:style w:type="paragraph" w:customStyle="1" w:styleId="NoteBullet">
    <w:name w:val="Note Bullet"/>
    <w:basedOn w:val="Note"/>
    <w:rsid w:val="00ED2138"/>
    <w:pPr>
      <w:tabs>
        <w:tab w:val="clear" w:pos="680"/>
      </w:tabs>
      <w:spacing w:before="60" w:after="60"/>
    </w:pPr>
  </w:style>
  <w:style w:type="paragraph" w:customStyle="1" w:styleId="SubHeading2">
    <w:name w:val="SubHeading2"/>
    <w:basedOn w:val="HeadingBase"/>
    <w:rsid w:val="00ED2138"/>
    <w:pPr>
      <w:spacing w:before="240" w:after="60"/>
    </w:pPr>
    <w:rPr>
      <w:sz w:val="20"/>
    </w:rPr>
  </w:style>
  <w:style w:type="paragraph" w:customStyle="1" w:styleId="SubHeading1">
    <w:name w:val="SubHeading1"/>
    <w:basedOn w:val="HeadingBase"/>
    <w:rsid w:val="00ED2138"/>
    <w:pPr>
      <w:spacing w:before="240" w:after="60"/>
    </w:pPr>
    <w:rPr>
      <w:color w:val="918585"/>
      <w:sz w:val="22"/>
    </w:rPr>
  </w:style>
  <w:style w:type="paragraph" w:customStyle="1" w:styleId="SideHeading">
    <w:name w:val="Side Heading"/>
    <w:basedOn w:val="HeadingBase"/>
    <w:rsid w:val="00ED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138"/>
    <w:pPr>
      <w:numPr>
        <w:numId w:val="12"/>
      </w:numPr>
    </w:pPr>
  </w:style>
  <w:style w:type="paragraph" w:styleId="PlainText">
    <w:name w:val="Plain Text"/>
    <w:basedOn w:val="Normal"/>
    <w:link w:val="PlainTextChar"/>
    <w:rsid w:val="00ED2138"/>
    <w:rPr>
      <w:sz w:val="20"/>
    </w:rPr>
  </w:style>
  <w:style w:type="character" w:customStyle="1" w:styleId="PlainTextChar">
    <w:name w:val="Plain Text Char"/>
    <w:basedOn w:val="DefaultParagraphFont"/>
    <w:link w:val="PlainText"/>
    <w:rsid w:val="00ED2138"/>
    <w:rPr>
      <w:rFonts w:ascii="Courier New" w:eastAsia="Times New Roman" w:hAnsi="Courier New" w:cs="Times New Roman"/>
      <w:sz w:val="20"/>
      <w:szCs w:val="20"/>
      <w:lang w:val="en-US" w:eastAsia="en-US"/>
    </w:rPr>
  </w:style>
  <w:style w:type="character" w:customStyle="1" w:styleId="MenuOption">
    <w:name w:val="Menu Option"/>
    <w:rsid w:val="00ED2138"/>
    <w:rPr>
      <w:b/>
      <w:smallCaps/>
    </w:rPr>
  </w:style>
  <w:style w:type="paragraph" w:customStyle="1" w:styleId="TableListNumber">
    <w:name w:val="Table List Number"/>
    <w:basedOn w:val="ListNumber"/>
    <w:rsid w:val="00ED2138"/>
    <w:pPr>
      <w:numPr>
        <w:numId w:val="0"/>
      </w:numPr>
    </w:pPr>
  </w:style>
  <w:style w:type="paragraph" w:styleId="TOC4">
    <w:name w:val="toc 4"/>
    <w:basedOn w:val="TOCBase"/>
    <w:next w:val="Normal"/>
    <w:semiHidden/>
    <w:rsid w:val="00ED2138"/>
    <w:pPr>
      <w:tabs>
        <w:tab w:val="right" w:leader="dot" w:pos="9071"/>
      </w:tabs>
      <w:ind w:left="1701"/>
    </w:pPr>
  </w:style>
  <w:style w:type="paragraph" w:customStyle="1" w:styleId="ListAlpha">
    <w:name w:val="List Alpha"/>
    <w:basedOn w:val="List"/>
    <w:rsid w:val="00ED2138"/>
    <w:pPr>
      <w:numPr>
        <w:numId w:val="9"/>
      </w:numPr>
    </w:pPr>
  </w:style>
  <w:style w:type="paragraph" w:customStyle="1" w:styleId="ListAlpha2">
    <w:name w:val="List Alpha 2"/>
    <w:basedOn w:val="List2"/>
    <w:rsid w:val="00ED2138"/>
    <w:pPr>
      <w:numPr>
        <w:numId w:val="8"/>
      </w:numPr>
    </w:pPr>
  </w:style>
  <w:style w:type="paragraph" w:styleId="List3">
    <w:name w:val="List 3"/>
    <w:basedOn w:val="BodyText"/>
    <w:rsid w:val="00ED2138"/>
    <w:pPr>
      <w:tabs>
        <w:tab w:val="left" w:pos="1021"/>
      </w:tabs>
      <w:spacing w:before="60" w:after="60"/>
      <w:ind w:left="1020" w:hanging="340"/>
    </w:pPr>
  </w:style>
  <w:style w:type="paragraph" w:styleId="List4">
    <w:name w:val="List 4"/>
    <w:basedOn w:val="BodyText"/>
    <w:rsid w:val="00ED2138"/>
    <w:pPr>
      <w:tabs>
        <w:tab w:val="left" w:pos="1361"/>
      </w:tabs>
      <w:spacing w:before="60" w:after="60"/>
      <w:ind w:left="1361" w:hanging="340"/>
    </w:pPr>
  </w:style>
  <w:style w:type="paragraph" w:styleId="List5">
    <w:name w:val="List 5"/>
    <w:basedOn w:val="BodyText"/>
    <w:rsid w:val="00ED2138"/>
    <w:pPr>
      <w:tabs>
        <w:tab w:val="left" w:pos="1701"/>
      </w:tabs>
      <w:spacing w:before="60" w:after="60"/>
      <w:ind w:left="1701" w:hanging="340"/>
    </w:pPr>
  </w:style>
  <w:style w:type="paragraph" w:styleId="ListBullet3">
    <w:name w:val="List Bullet 3"/>
    <w:basedOn w:val="List3"/>
    <w:rsid w:val="00ED2138"/>
    <w:pPr>
      <w:numPr>
        <w:numId w:val="15"/>
      </w:numPr>
      <w:tabs>
        <w:tab w:val="clear" w:pos="1021"/>
      </w:tabs>
      <w:ind w:left="1037" w:hanging="357"/>
    </w:pPr>
  </w:style>
  <w:style w:type="paragraph" w:styleId="ListBullet4">
    <w:name w:val="List Bullet 4"/>
    <w:basedOn w:val="List4"/>
    <w:rsid w:val="00ED2138"/>
    <w:pPr>
      <w:numPr>
        <w:numId w:val="3"/>
      </w:numPr>
    </w:pPr>
  </w:style>
  <w:style w:type="paragraph" w:styleId="ListBullet5">
    <w:name w:val="List Bullet 5"/>
    <w:basedOn w:val="List5"/>
    <w:rsid w:val="00ED2138"/>
    <w:pPr>
      <w:numPr>
        <w:numId w:val="4"/>
      </w:numPr>
    </w:pPr>
  </w:style>
  <w:style w:type="paragraph" w:styleId="ListContinue2">
    <w:name w:val="List Continue 2"/>
    <w:basedOn w:val="List2"/>
    <w:rsid w:val="00ED2138"/>
    <w:pPr>
      <w:ind w:firstLine="0"/>
    </w:pPr>
  </w:style>
  <w:style w:type="paragraph" w:styleId="ListContinue3">
    <w:name w:val="List Continue 3"/>
    <w:basedOn w:val="List3"/>
    <w:rsid w:val="00ED2138"/>
    <w:pPr>
      <w:ind w:left="1021" w:firstLine="0"/>
    </w:pPr>
  </w:style>
  <w:style w:type="paragraph" w:styleId="ListContinue4">
    <w:name w:val="List Continue 4"/>
    <w:basedOn w:val="List4"/>
    <w:rsid w:val="00ED2138"/>
    <w:pPr>
      <w:ind w:firstLine="0"/>
    </w:pPr>
  </w:style>
  <w:style w:type="paragraph" w:styleId="ListContinue5">
    <w:name w:val="List Continue 5"/>
    <w:basedOn w:val="List5"/>
    <w:rsid w:val="00ED2138"/>
    <w:pPr>
      <w:ind w:firstLine="0"/>
    </w:pPr>
  </w:style>
  <w:style w:type="paragraph" w:styleId="ListNumber3">
    <w:name w:val="List Number 3"/>
    <w:basedOn w:val="List3"/>
    <w:rsid w:val="00ED2138"/>
    <w:pPr>
      <w:numPr>
        <w:numId w:val="5"/>
      </w:numPr>
    </w:pPr>
  </w:style>
  <w:style w:type="paragraph" w:styleId="ListNumber4">
    <w:name w:val="List Number 4"/>
    <w:basedOn w:val="List4"/>
    <w:rsid w:val="00ED2138"/>
    <w:pPr>
      <w:numPr>
        <w:numId w:val="6"/>
      </w:numPr>
    </w:pPr>
  </w:style>
  <w:style w:type="paragraph" w:styleId="ListNumber5">
    <w:name w:val="List Number 5"/>
    <w:basedOn w:val="List5"/>
    <w:rsid w:val="00ED2138"/>
    <w:pPr>
      <w:numPr>
        <w:numId w:val="7"/>
      </w:numPr>
    </w:pPr>
  </w:style>
  <w:style w:type="paragraph" w:styleId="BlockText">
    <w:name w:val="Block Text"/>
    <w:basedOn w:val="Normal"/>
    <w:rsid w:val="00ED2138"/>
    <w:pPr>
      <w:spacing w:after="120"/>
      <w:ind w:left="1440" w:right="1440"/>
    </w:pPr>
  </w:style>
  <w:style w:type="character" w:customStyle="1" w:styleId="Subscript">
    <w:name w:val="Subscript"/>
    <w:rsid w:val="00ED2138"/>
    <w:rPr>
      <w:sz w:val="16"/>
      <w:vertAlign w:val="subscript"/>
    </w:rPr>
  </w:style>
  <w:style w:type="character" w:customStyle="1" w:styleId="Superscript">
    <w:name w:val="Superscript"/>
    <w:rsid w:val="00ED2138"/>
    <w:rPr>
      <w:sz w:val="16"/>
      <w:vertAlign w:val="superscript"/>
    </w:rPr>
  </w:style>
  <w:style w:type="character" w:customStyle="1" w:styleId="Symbols">
    <w:name w:val="Symbols"/>
    <w:rsid w:val="00ED2138"/>
    <w:rPr>
      <w:rFonts w:ascii="Symbol" w:hAnsi="Symbol"/>
    </w:rPr>
  </w:style>
  <w:style w:type="character" w:customStyle="1" w:styleId="MenuOptions">
    <w:name w:val="Menu Options"/>
    <w:rsid w:val="00ED2138"/>
    <w:rPr>
      <w:rFonts w:ascii="Arial Narrow" w:hAnsi="Arial Narrow"/>
      <w:smallCaps/>
    </w:rPr>
  </w:style>
  <w:style w:type="character" w:customStyle="1" w:styleId="Buttons">
    <w:name w:val="Buttons"/>
    <w:rsid w:val="00ED2138"/>
    <w:rPr>
      <w:b/>
    </w:rPr>
  </w:style>
  <w:style w:type="character" w:customStyle="1" w:styleId="Underlined">
    <w:name w:val="Underlined"/>
    <w:rsid w:val="00ED2138"/>
    <w:rPr>
      <w:u w:val="single"/>
    </w:rPr>
  </w:style>
  <w:style w:type="paragraph" w:customStyle="1" w:styleId="TableBodyTextRight">
    <w:name w:val="Table Body Text Right"/>
    <w:basedOn w:val="TableBodyText"/>
    <w:rsid w:val="00ED2138"/>
    <w:pPr>
      <w:widowControl w:val="0"/>
      <w:autoSpaceDE w:val="0"/>
      <w:autoSpaceDN w:val="0"/>
      <w:adjustRightInd w:val="0"/>
      <w:jc w:val="right"/>
    </w:pPr>
    <w:rPr>
      <w:rFonts w:cs="Arial"/>
      <w:szCs w:val="18"/>
    </w:rPr>
  </w:style>
  <w:style w:type="paragraph" w:customStyle="1" w:styleId="CopyrightText">
    <w:name w:val="Copyright Text"/>
    <w:basedOn w:val="BodyText"/>
    <w:rsid w:val="00ED2138"/>
    <w:rPr>
      <w:sz w:val="18"/>
    </w:rPr>
  </w:style>
  <w:style w:type="paragraph" w:customStyle="1" w:styleId="BodySmallRight">
    <w:name w:val="Body Small Right"/>
    <w:basedOn w:val="BodyTextRight"/>
    <w:rsid w:val="00ED2138"/>
    <w:rPr>
      <w:sz w:val="18"/>
      <w:szCs w:val="18"/>
    </w:rPr>
  </w:style>
  <w:style w:type="paragraph" w:customStyle="1" w:styleId="MarginEdition">
    <w:name w:val="Margin Edition"/>
    <w:basedOn w:val="MarginNote"/>
    <w:rsid w:val="00ED2138"/>
    <w:pPr>
      <w:spacing w:before="0" w:after="0"/>
    </w:pPr>
    <w:rPr>
      <w:rFonts w:ascii="Times New Roman" w:hAnsi="Times New Roman"/>
      <w:color w:val="999999"/>
    </w:rPr>
  </w:style>
  <w:style w:type="paragraph" w:customStyle="1" w:styleId="Spacer">
    <w:name w:val="Spacer"/>
    <w:basedOn w:val="Normal"/>
    <w:rsid w:val="00ED2138"/>
    <w:rPr>
      <w:sz w:val="2"/>
      <w:szCs w:val="2"/>
    </w:rPr>
  </w:style>
  <w:style w:type="character" w:customStyle="1" w:styleId="Small">
    <w:name w:val="Small"/>
    <w:rsid w:val="00ED2138"/>
    <w:rPr>
      <w:sz w:val="16"/>
    </w:rPr>
  </w:style>
  <w:style w:type="paragraph" w:customStyle="1" w:styleId="WideTable">
    <w:name w:val="Wide Table"/>
    <w:basedOn w:val="Normal"/>
    <w:rsid w:val="00ED2138"/>
    <w:pPr>
      <w:ind w:left="-1418"/>
    </w:pPr>
    <w:rPr>
      <w:sz w:val="2"/>
      <w:szCs w:val="2"/>
    </w:rPr>
  </w:style>
  <w:style w:type="character" w:styleId="PageNumber">
    <w:name w:val="page number"/>
    <w:rsid w:val="00ED2138"/>
  </w:style>
  <w:style w:type="paragraph" w:styleId="Quote">
    <w:name w:val="Quote"/>
    <w:basedOn w:val="Heading1"/>
    <w:link w:val="QuoteChar"/>
    <w:qFormat/>
    <w:rsid w:val="00ED2138"/>
    <w:rPr>
      <w:b w:val="0"/>
      <w:sz w:val="72"/>
      <w:szCs w:val="72"/>
      <w:lang w:val="en-NZ"/>
    </w:rPr>
  </w:style>
  <w:style w:type="character" w:customStyle="1" w:styleId="QuoteChar">
    <w:name w:val="Quote Char"/>
    <w:link w:val="Quote"/>
    <w:rsid w:val="00ED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138"/>
    <w:pPr>
      <w:pageBreakBefore/>
    </w:pPr>
  </w:style>
  <w:style w:type="paragraph" w:customStyle="1" w:styleId="Border">
    <w:name w:val="Border"/>
    <w:basedOn w:val="Normal"/>
    <w:qFormat/>
    <w:rsid w:val="00ED2138"/>
    <w:pPr>
      <w:pBdr>
        <w:top w:val="single" w:sz="18" w:space="1" w:color="auto"/>
      </w:pBdr>
    </w:pPr>
    <w:rPr>
      <w:rFonts w:ascii="Times New Roman" w:hAnsi="Times New Roman"/>
      <w:color w:val="FFFFFF"/>
      <w:sz w:val="2"/>
    </w:rPr>
  </w:style>
  <w:style w:type="character" w:styleId="IntenseEmphasis">
    <w:name w:val="Intense Emphasis"/>
    <w:uiPriority w:val="21"/>
    <w:qFormat/>
    <w:rsid w:val="00ED2138"/>
    <w:rPr>
      <w:b/>
      <w:bCs/>
      <w:i/>
      <w:iCs/>
      <w:color w:val="auto"/>
    </w:rPr>
  </w:style>
  <w:style w:type="paragraph" w:styleId="IntenseQuote">
    <w:name w:val="Intense Quote"/>
    <w:basedOn w:val="Normal"/>
    <w:next w:val="Normal"/>
    <w:link w:val="IntenseQuoteChar"/>
    <w:uiPriority w:val="30"/>
    <w:qFormat/>
    <w:rsid w:val="00ED21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2138"/>
    <w:rPr>
      <w:rFonts w:ascii="Courier New" w:eastAsia="Times New Roman" w:hAnsi="Courier New" w:cs="Times New Roman"/>
      <w:b/>
      <w:bCs/>
      <w:i/>
      <w:iCs/>
      <w:szCs w:val="20"/>
      <w:lang w:val="en-US" w:eastAsia="en-US"/>
    </w:rPr>
  </w:style>
  <w:style w:type="character" w:styleId="SubtleReference">
    <w:name w:val="Subtle Reference"/>
    <w:uiPriority w:val="31"/>
    <w:qFormat/>
    <w:rsid w:val="00ED2138"/>
    <w:rPr>
      <w:smallCaps/>
      <w:color w:val="auto"/>
      <w:u w:val="single"/>
    </w:rPr>
  </w:style>
  <w:style w:type="character" w:styleId="IntenseReference">
    <w:name w:val="Intense Reference"/>
    <w:uiPriority w:val="32"/>
    <w:qFormat/>
    <w:rsid w:val="00ED2138"/>
    <w:rPr>
      <w:b/>
      <w:bCs/>
      <w:smallCaps/>
      <w:color w:val="auto"/>
      <w:spacing w:val="5"/>
      <w:u w:val="single"/>
    </w:rPr>
  </w:style>
  <w:style w:type="paragraph" w:customStyle="1" w:styleId="2ColumnHeading">
    <w:name w:val="2Column Heading"/>
    <w:basedOn w:val="BodyText"/>
    <w:qFormat/>
    <w:rsid w:val="00ED2138"/>
    <w:pPr>
      <w:spacing w:after="60"/>
      <w:ind w:left="-2268"/>
    </w:pPr>
    <w:rPr>
      <w:b/>
    </w:rPr>
  </w:style>
  <w:style w:type="paragraph" w:customStyle="1" w:styleId="Heading1TOC">
    <w:name w:val="Heading1 TOC"/>
    <w:basedOn w:val="Normal"/>
    <w:qFormat/>
    <w:rsid w:val="00ED2138"/>
    <w:pPr>
      <w:spacing w:before="240" w:after="120"/>
    </w:pPr>
    <w:rPr>
      <w:rFonts w:ascii="Times New Roman" w:hAnsi="Times New Roman"/>
      <w:b/>
      <w:sz w:val="32"/>
    </w:rPr>
  </w:style>
  <w:style w:type="paragraph" w:customStyle="1" w:styleId="Heading2TOC">
    <w:name w:val="Heading2 TOC"/>
    <w:basedOn w:val="Normal"/>
    <w:qFormat/>
    <w:rsid w:val="00ED2138"/>
    <w:pPr>
      <w:spacing w:before="240" w:after="60"/>
    </w:pPr>
    <w:rPr>
      <w:rFonts w:ascii="Times New Roman" w:hAnsi="Times New Roman"/>
      <w:b/>
      <w:sz w:val="28"/>
    </w:rPr>
  </w:style>
  <w:style w:type="character" w:customStyle="1" w:styleId="Underline">
    <w:name w:val="Underline"/>
    <w:qFormat/>
    <w:rsid w:val="00ED2138"/>
    <w:rPr>
      <w:u w:val="single"/>
    </w:rPr>
  </w:style>
  <w:style w:type="paragraph" w:styleId="BalloonText">
    <w:name w:val="Balloon Text"/>
    <w:basedOn w:val="Normal"/>
    <w:link w:val="BalloonTextChar"/>
    <w:rsid w:val="00ED2138"/>
    <w:rPr>
      <w:rFonts w:ascii="Tahoma" w:hAnsi="Tahoma" w:cs="Tahoma"/>
      <w:sz w:val="16"/>
      <w:szCs w:val="16"/>
    </w:rPr>
  </w:style>
  <w:style w:type="character" w:customStyle="1" w:styleId="BalloonTextChar">
    <w:name w:val="Balloon Text Char"/>
    <w:link w:val="BalloonText"/>
    <w:rsid w:val="00ED21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1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21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2092</Words>
  <Characters>13433</Characters>
  <Application>Microsoft Office Word</Application>
  <DocSecurity>0</DocSecurity>
  <Lines>409</Lines>
  <Paragraphs>216</Paragraphs>
  <ScaleCrop>false</ScaleCrop>
  <Company>Author-it Software Corporation Ltd.</Company>
  <LinksUpToDate>false</LinksUpToDate>
  <CharactersWithSpaces>15440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FDFOP2028A Operate a mixing or blending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