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48B" w:rsidP="00B4448B">
      <w:pPr>
        <w:pStyle w:val="Title"/>
      </w:pPr>
      <w:r>
        <w:fldChar w:fldCharType="begin"/>
      </w:r>
      <w:r>
        <w:instrText xml:space="preserve"> TITLE   \* MERGEFORMAT </w:instrText>
      </w:r>
      <w:r>
        <w:fldChar w:fldCharType="separate"/>
      </w:r>
      <w:r>
        <w:t>FDFLAB3004A Check and maintain readiness of wine testing equipment</w:t>
      </w:r>
      <w:r>
        <w:fldChar w:fldCharType="end"/>
      </w:r>
    </w:p>
    <w:p w:rsidR="00B4448B" w:rsidP="00B4448B">
      <w:pPr>
        <w:pStyle w:val="Version"/>
        <w:sectPr w:rsidSect="00C332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32F9" w:rsidP="00C332F9">
      <w:pPr>
        <w:pStyle w:val="SuperHeading"/>
      </w:pPr>
      <w:r w:rsidRPr="00C332F9">
        <w:t>FDFLAB3004A Check and maintain readiness of wine testing equipment</w:t>
      </w:r>
    </w:p>
    <w:p w:rsidR="00000000" w:rsidRPr="00C332F9" w:rsidP="00C332F9">
      <w:pPr>
        <w:pStyle w:val="Heading1"/>
      </w:pPr>
      <w:bookmarkStart w:id="1" w:name="O_488046"/>
      <w:bookmarkEnd w:id="1"/>
      <w:r w:rsidRPr="00C332F9">
        <w:t>Modification History</w:t>
      </w:r>
    </w:p>
    <w:p w:rsidR="00000000" w:rsidRPr="00C332F9" w:rsidP="00C332F9">
      <w:pPr>
        <w:pStyle w:val="BodyText"/>
      </w:pPr>
      <w:r w:rsidRPr="00C332F9">
        <w:t>September 2012: clarified pre-requisite information.</w:t>
      </w:r>
    </w:p>
    <w:p w:rsidR="00000000" w:rsidRPr="00C332F9" w:rsidP="00C332F9">
      <w:pPr>
        <w:pStyle w:val="BodyText"/>
      </w:pPr>
      <w:r w:rsidRPr="00C332F9">
        <w:t>April 201</w:t>
      </w:r>
      <w:r w:rsidRPr="00C332F9">
        <w:t>2: Minor typographical corrections.</w:t>
      </w:r>
    </w:p>
    <w:p w:rsidR="00000000" w:rsidRPr="00C332F9" w:rsidP="00C332F9">
      <w:pPr>
        <w:pStyle w:val="AllowPageBreak"/>
      </w:pPr>
    </w:p>
    <w:p w:rsidR="00000000" w:rsidRPr="00C332F9" w:rsidP="00C332F9">
      <w:pPr>
        <w:pStyle w:val="Heading1"/>
      </w:pPr>
      <w:bookmarkStart w:id="2" w:name="O_488041"/>
      <w:bookmarkEnd w:id="2"/>
      <w:r w:rsidRPr="00C332F9">
        <w:t>Unit Descriptor</w:t>
      </w:r>
    </w:p>
    <w:tbl>
      <w:tblPr>
        <w:tblW w:w="9462" w:type="dxa"/>
        <w:tblLayout w:type="fixed"/>
        <w:tblCellMar>
          <w:left w:w="62" w:type="dxa"/>
          <w:right w:w="62" w:type="dxa"/>
        </w:tblCellMar>
        <w:tblLook w:val="0000"/>
      </w:tblPr>
      <w:tblGrid>
        <w:gridCol w:w="2660"/>
        <w:gridCol w:w="6802"/>
      </w:tblGrid>
      <w:tr w:rsidTr="00C332F9">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Heading4"/>
              <w:rPr>
                <w:lang w:val="en-NZ"/>
              </w:rPr>
            </w:pPr>
            <w:r w:rsidRPr="00C332F9">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This unit covers the skills and knowledge required to perform set-up and pre-use checks on wine testing equipment and assist with maintenance.</w:t>
            </w:r>
          </w:p>
        </w:tc>
      </w:tr>
    </w:tbl>
    <w:p w:rsidR="00B4448B" w:rsidP="00C332F9">
      <w:pPr>
        <w:pStyle w:val="BodyText"/>
      </w:pPr>
    </w:p>
    <w:p w:rsidR="00B4448B" w:rsidP="00C332F9">
      <w:pPr>
        <w:pStyle w:val="BodyText"/>
      </w:pPr>
    </w:p>
    <w:p w:rsidR="00000000" w:rsidRPr="00C332F9" w:rsidP="00C332F9">
      <w:pPr>
        <w:pStyle w:val="Heading1"/>
      </w:pPr>
      <w:bookmarkStart w:id="3" w:name="O_488053"/>
      <w:bookmarkEnd w:id="3"/>
      <w:r w:rsidRPr="00C332F9">
        <w:t>Application of the Unit</w:t>
      </w:r>
    </w:p>
    <w:tbl>
      <w:tblPr>
        <w:tblW w:w="9462" w:type="dxa"/>
        <w:tblLayout w:type="fixed"/>
        <w:tblCellMar>
          <w:left w:w="62" w:type="dxa"/>
          <w:right w:w="62" w:type="dxa"/>
        </w:tblCellMar>
        <w:tblLook w:val="0000"/>
      </w:tblPr>
      <w:tblGrid>
        <w:gridCol w:w="2660"/>
        <w:gridCol w:w="6802"/>
      </w:tblGrid>
      <w:tr w:rsidTr="00C332F9">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Heading4"/>
              <w:rPr>
                <w:lang w:val="en-NZ"/>
              </w:rPr>
            </w:pPr>
            <w:r w:rsidRPr="00C332F9">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This unit of competency has been developed for the laboratory stream of the wine sector. It applies to equipment used in laboratories, cellar and field testing for the wine industry. Maintenance tasks include</w:t>
            </w:r>
            <w:r w:rsidRPr="00C332F9">
              <w:t xml:space="preserve"> identification of faults, minor repairs and maintenance and notification of requirements for major repairs, according to enterprise procedures.</w:t>
            </w:r>
          </w:p>
          <w:p w:rsidR="00000000" w:rsidRPr="00C332F9" w:rsidP="00C332F9">
            <w:pPr>
              <w:pStyle w:val="BodyText"/>
            </w:pPr>
            <w:r w:rsidRPr="00C332F9">
              <w:t xml:space="preserve">All operations must comply with relevant standards, appropriate procedures and/or enterprise requirements. </w:t>
            </w:r>
          </w:p>
        </w:tc>
      </w:tr>
    </w:tbl>
    <w:p w:rsidR="00B4448B" w:rsidP="00C332F9">
      <w:pPr>
        <w:pStyle w:val="BodyText"/>
      </w:pPr>
    </w:p>
    <w:p w:rsidR="00B4448B" w:rsidP="00C332F9">
      <w:pPr>
        <w:pStyle w:val="BodyText"/>
      </w:pPr>
    </w:p>
    <w:p w:rsidR="00000000" w:rsidRPr="00C332F9" w:rsidP="00C332F9">
      <w:pPr>
        <w:pStyle w:val="Heading1"/>
      </w:pPr>
      <w:bookmarkStart w:id="4" w:name="O_488042"/>
      <w:bookmarkEnd w:id="4"/>
      <w:r w:rsidRPr="00C332F9">
        <w:t>Licensing/Regulatory Information</w:t>
      </w:r>
    </w:p>
    <w:p w:rsidR="00000000" w:rsidRPr="00C332F9" w:rsidP="00C332F9">
      <w:pPr>
        <w:pStyle w:val="BodyText"/>
      </w:pPr>
      <w:r w:rsidRPr="00C332F9">
        <w:t>Not applicable.</w:t>
      </w:r>
    </w:p>
    <w:p w:rsidR="00000000" w:rsidRPr="00C332F9" w:rsidP="00C332F9">
      <w:pPr>
        <w:pStyle w:val="AllowPageBreak"/>
      </w:pPr>
    </w:p>
    <w:p w:rsidR="00000000" w:rsidRPr="00C332F9" w:rsidP="00C332F9">
      <w:pPr>
        <w:pStyle w:val="Heading1"/>
      </w:pPr>
      <w:bookmarkStart w:id="5" w:name="O_488045"/>
      <w:bookmarkEnd w:id="5"/>
      <w:r w:rsidRPr="00C332F9">
        <w:t>Pre-Requisites</w:t>
      </w:r>
    </w:p>
    <w:tbl>
      <w:tblPr>
        <w:tblW w:w="9520" w:type="dxa"/>
        <w:tblLayout w:type="fixed"/>
        <w:tblCellMar>
          <w:left w:w="62" w:type="dxa"/>
          <w:right w:w="62" w:type="dxa"/>
        </w:tblCellMar>
        <w:tblLook w:val="0000"/>
      </w:tblPr>
      <w:tblGrid>
        <w:gridCol w:w="2660"/>
        <w:gridCol w:w="1754"/>
        <w:gridCol w:w="5106"/>
      </w:tblGrid>
      <w:tr w:rsidTr="00C332F9">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Heading4"/>
              <w:rPr>
                <w:lang w:val="en-NZ"/>
              </w:rPr>
            </w:pPr>
            <w:r w:rsidRPr="00C332F9">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p>
        </w:tc>
      </w:tr>
      <w:tr w:rsidTr="00C332F9">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FDFLAB2006A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Record laboratory data, and</w:t>
            </w:r>
          </w:p>
        </w:tc>
      </w:tr>
      <w:tr w:rsidTr="00C332F9">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FDFLAB2001A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Perform basic analytical tests*, or</w:t>
            </w:r>
          </w:p>
          <w:p w:rsidR="00000000" w:rsidP="00C332F9">
            <w:pPr>
              <w:pStyle w:val="BodyText"/>
              <w:rPr>
                <w:lang w:val="en-NZ"/>
              </w:rPr>
            </w:pPr>
            <w:r w:rsidRPr="00C332F9">
              <w:rPr>
                <w:rStyle w:val="Emphasis"/>
              </w:rPr>
              <w:t>FDFLAB2011A Use basic laboratory equipment</w:t>
            </w:r>
          </w:p>
        </w:tc>
      </w:tr>
      <w:tr w:rsidTr="00C332F9">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FDFLAB2002A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Perform basic microbiological tests*, or</w:t>
            </w:r>
          </w:p>
          <w:p w:rsidR="00000000" w:rsidRPr="00C332F9" w:rsidP="00C332F9">
            <w:pPr>
              <w:pStyle w:val="BodyText"/>
            </w:pPr>
            <w:r w:rsidRPr="00C332F9">
              <w:rPr>
                <w:rStyle w:val="Emphasis"/>
              </w:rPr>
              <w:t>FDFLAB2012 Maintain aseptic environment</w:t>
            </w:r>
          </w:p>
          <w:p w:rsidR="00000000" w:rsidP="00C332F9">
            <w:pPr>
              <w:pStyle w:val="BodyText"/>
              <w:rPr>
                <w:lang w:val="en-NZ"/>
              </w:rPr>
            </w:pPr>
            <w:r w:rsidRPr="00C332F9">
              <w:rPr>
                <w:rStyle w:val="Emphasis"/>
              </w:rPr>
              <w:t>FDFLAB2011A Use basic laboratory equipment</w:t>
            </w:r>
          </w:p>
        </w:tc>
      </w:tr>
      <w:tr w:rsidTr="00C332F9">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FDFLAB2009A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Perform packaging quality control procedures*</w:t>
            </w:r>
          </w:p>
          <w:p w:rsidR="00000000" w:rsidRPr="00C332F9" w:rsidP="00C332F9">
            <w:pPr>
              <w:pStyle w:val="BodyText"/>
            </w:pPr>
            <w:r w:rsidRPr="00C332F9">
              <w:rPr>
                <w:rStyle w:val="Emphasis"/>
              </w:rPr>
              <w:t>FDFLAB2011A Use basic laboratory equipment</w:t>
            </w:r>
          </w:p>
        </w:tc>
      </w:tr>
    </w:tbl>
    <w:p w:rsidR="00000000" w:rsidRPr="00C332F9" w:rsidP="00C332F9">
      <w:pPr>
        <w:pStyle w:val="BodyText"/>
      </w:pPr>
    </w:p>
    <w:p w:rsidR="00000000" w:rsidRPr="00C332F9" w:rsidP="00C332F9">
      <w:pPr>
        <w:pStyle w:val="AllowPageBreak"/>
      </w:pPr>
    </w:p>
    <w:p w:rsidR="00000000" w:rsidRPr="00C332F9" w:rsidP="00C332F9">
      <w:pPr>
        <w:pStyle w:val="Heading1"/>
      </w:pPr>
      <w:bookmarkStart w:id="6" w:name="O_488049"/>
      <w:bookmarkEnd w:id="6"/>
      <w:r w:rsidRPr="00C332F9">
        <w:t>Employability Skills Information</w:t>
      </w:r>
    </w:p>
    <w:tbl>
      <w:tblPr>
        <w:tblW w:w="9462" w:type="dxa"/>
        <w:tblLayout w:type="fixed"/>
        <w:tblCellMar>
          <w:left w:w="62" w:type="dxa"/>
          <w:right w:w="62" w:type="dxa"/>
        </w:tblCellMar>
        <w:tblLook w:val="0000"/>
      </w:tblPr>
      <w:tblGrid>
        <w:gridCol w:w="2660"/>
        <w:gridCol w:w="6802"/>
      </w:tblGrid>
      <w:tr w:rsidTr="00C332F9">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Heading4"/>
              <w:rPr>
                <w:lang w:val="en-NZ"/>
              </w:rPr>
            </w:pPr>
            <w:r w:rsidRPr="00C332F9">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 xml:space="preserve">This unit contains employability skills.  </w:t>
            </w:r>
          </w:p>
        </w:tc>
      </w:tr>
    </w:tbl>
    <w:p w:rsidR="00B4448B" w:rsidP="00C332F9">
      <w:pPr>
        <w:pStyle w:val="BodyText"/>
      </w:pPr>
    </w:p>
    <w:p w:rsidR="00B4448B" w:rsidP="00C332F9">
      <w:pPr>
        <w:pStyle w:val="BodyText"/>
      </w:pPr>
    </w:p>
    <w:p w:rsidR="00000000" w:rsidRPr="00C332F9" w:rsidP="00C332F9">
      <w:pPr>
        <w:pStyle w:val="Heading1"/>
      </w:pPr>
      <w:bookmarkStart w:id="7" w:name="O_488050"/>
      <w:bookmarkEnd w:id="7"/>
      <w:r w:rsidRPr="00C332F9">
        <w:t>Elements and Performance Criteria Pre-Content</w:t>
      </w:r>
    </w:p>
    <w:tbl>
      <w:tblPr>
        <w:tblW w:w="9462" w:type="dxa"/>
        <w:tblLayout w:type="fixed"/>
        <w:tblCellMar>
          <w:left w:w="62" w:type="dxa"/>
          <w:right w:w="62" w:type="dxa"/>
        </w:tblCellMar>
        <w:tblLook w:val="0000"/>
      </w:tblPr>
      <w:tblGrid>
        <w:gridCol w:w="2700"/>
        <w:gridCol w:w="6762"/>
      </w:tblGrid>
      <w:tr w:rsidTr="00C332F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32F9">
            <w:pPr>
              <w:pStyle w:val="BodyText"/>
              <w:rPr>
                <w:lang w:val="en-NZ"/>
              </w:rPr>
            </w:pPr>
            <w:r w:rsidRPr="00C332F9">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332F9" w:rsidP="00C332F9">
            <w:pPr>
              <w:pStyle w:val="BodyText"/>
            </w:pPr>
            <w:r w:rsidRPr="00C332F9">
              <w:t>Performance criteria describe the performance needed to demonstrate achievement of the element. Where bold italicised text is used, further information is detailed in the required skills and knowledge section and the range statement. Assessment of performa</w:t>
            </w:r>
            <w:r w:rsidRPr="00C332F9">
              <w:t>nce is to be consistent with the evidence guide.</w:t>
            </w:r>
          </w:p>
        </w:tc>
      </w:tr>
    </w:tbl>
    <w:p w:rsidR="00000000" w:rsidRPr="00C332F9" w:rsidP="00C332F9">
      <w:pPr>
        <w:pStyle w:val="BodyText"/>
      </w:pPr>
    </w:p>
    <w:p w:rsidR="00000000" w:rsidRPr="00C332F9" w:rsidP="00C332F9">
      <w:pPr>
        <w:pStyle w:val="AllowPageBreak"/>
      </w:pPr>
    </w:p>
    <w:p w:rsidR="00000000" w:rsidRPr="00C332F9" w:rsidP="00C332F9">
      <w:pPr>
        <w:pStyle w:val="Heading1"/>
      </w:pPr>
      <w:bookmarkStart w:id="8" w:name="O_488051"/>
      <w:bookmarkEnd w:id="8"/>
      <w:r w:rsidRPr="00C332F9">
        <w:t>Elements and Performance Criteria</w:t>
      </w:r>
    </w:p>
    <w:tbl>
      <w:tblPr>
        <w:tblW w:w="9462" w:type="dxa"/>
        <w:tblLayout w:type="fixed"/>
        <w:tblCellMar>
          <w:left w:w="62" w:type="dxa"/>
          <w:right w:w="62" w:type="dxa"/>
        </w:tblCellMar>
        <w:tblLook w:val="0000"/>
      </w:tblPr>
      <w:tblGrid>
        <w:gridCol w:w="2700"/>
        <w:gridCol w:w="6762"/>
      </w:tblGrid>
      <w:tr w:rsidTr="00C332F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332F9">
            <w:pPr>
              <w:pStyle w:val="TableHeading"/>
              <w:rPr>
                <w:lang w:val="en-NZ"/>
              </w:rPr>
            </w:pPr>
            <w:r w:rsidRPr="00C332F9">
              <w:t>ELEMENT</w:t>
            </w:r>
          </w:p>
        </w:tc>
        <w:tc>
          <w:tcPr>
            <w:tcW w:w="6762" w:type="dxa"/>
            <w:tcBorders>
              <w:top w:val="nil"/>
              <w:left w:val="nil"/>
              <w:bottom w:val="nil"/>
              <w:right w:val="nil"/>
            </w:tcBorders>
            <w:tcMar>
              <w:top w:w="0" w:type="dxa"/>
              <w:left w:w="62" w:type="dxa"/>
              <w:bottom w:w="0" w:type="dxa"/>
              <w:right w:w="62" w:type="dxa"/>
            </w:tcMar>
          </w:tcPr>
          <w:p w:rsidR="00000000" w:rsidP="00C332F9">
            <w:pPr>
              <w:pStyle w:val="TableHeading"/>
              <w:rPr>
                <w:lang w:val="en-NZ"/>
              </w:rPr>
            </w:pPr>
            <w:r w:rsidRPr="00C332F9">
              <w:t>PERFORMANCE CRITERIA</w:t>
            </w:r>
          </w:p>
        </w:tc>
      </w:tr>
      <w:tr w:rsidTr="00C332F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32F9">
            <w:pPr>
              <w:pStyle w:val="List"/>
              <w:rPr>
                <w:lang w:val="en-NZ"/>
              </w:rPr>
            </w:pPr>
            <w:r w:rsidRPr="00C332F9">
              <w:t>1.</w:t>
            </w:r>
            <w:r w:rsidRPr="00C332F9">
              <w:tab/>
              <w:t>Perform pre-use checks of wine testing equipment</w:t>
            </w:r>
          </w:p>
        </w:tc>
        <w:tc>
          <w:tcPr>
            <w:tcW w:w="6762" w:type="dxa"/>
            <w:tcBorders>
              <w:top w:val="nil"/>
              <w:left w:val="nil"/>
              <w:bottom w:val="nil"/>
              <w:right w:val="nil"/>
            </w:tcBorders>
            <w:tcMar>
              <w:top w:w="0" w:type="dxa"/>
              <w:left w:w="62" w:type="dxa"/>
              <w:bottom w:w="0" w:type="dxa"/>
              <w:right w:w="62" w:type="dxa"/>
            </w:tcMar>
          </w:tcPr>
          <w:p w:rsidR="00000000" w:rsidRPr="00C332F9" w:rsidP="00C332F9">
            <w:pPr>
              <w:pStyle w:val="List"/>
            </w:pPr>
            <w:r w:rsidRPr="00C332F9">
              <w:t>1.1</w:t>
            </w:r>
            <w:r w:rsidRPr="00C332F9">
              <w:tab/>
              <w:t>Wine testing equipment pre-use checks are performed in accordance wi</w:t>
            </w:r>
            <w:r w:rsidRPr="00C332F9">
              <w:t>th enterprise procedures</w:t>
            </w:r>
          </w:p>
          <w:p w:rsidR="00000000" w:rsidRPr="00C332F9" w:rsidP="00C332F9">
            <w:pPr>
              <w:pStyle w:val="List"/>
            </w:pPr>
            <w:r w:rsidRPr="00C332F9">
              <w:t>1.2</w:t>
            </w:r>
            <w:r w:rsidRPr="00C332F9">
              <w:tab/>
              <w:t>Safety checks are performed in accordance with relevant enterprise and instrumental procedures</w:t>
            </w:r>
          </w:p>
          <w:p w:rsidR="00000000" w:rsidRPr="00C332F9" w:rsidP="00C332F9">
            <w:pPr>
              <w:pStyle w:val="List"/>
            </w:pPr>
            <w:r w:rsidRPr="00C332F9">
              <w:t>1.3</w:t>
            </w:r>
            <w:r w:rsidRPr="00C332F9">
              <w:tab/>
              <w:t>Faulty or unsafe components and equipment are identified and reported to appropriate personnel</w:t>
            </w:r>
          </w:p>
          <w:p w:rsidR="00000000" w:rsidP="00C332F9">
            <w:pPr>
              <w:pStyle w:val="List"/>
              <w:rPr>
                <w:lang w:val="en-NZ"/>
              </w:rPr>
            </w:pPr>
            <w:r w:rsidRPr="00C332F9">
              <w:t>1.4</w:t>
            </w:r>
            <w:r w:rsidRPr="00C332F9">
              <w:tab/>
            </w:r>
            <w:r w:rsidRPr="00C332F9">
              <w:t>Instrument log books are completed to enterprise requirements</w:t>
            </w:r>
          </w:p>
        </w:tc>
      </w:tr>
      <w:tr w:rsidTr="00C332F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32F9">
            <w:pPr>
              <w:pStyle w:val="List"/>
              <w:rPr>
                <w:lang w:val="en-NZ"/>
              </w:rPr>
            </w:pPr>
            <w:r w:rsidRPr="00C332F9">
              <w:t>2.</w:t>
            </w:r>
            <w:r w:rsidRPr="00C332F9">
              <w:tab/>
              <w:t>Perform set-up checks</w:t>
            </w:r>
          </w:p>
        </w:tc>
        <w:tc>
          <w:tcPr>
            <w:tcW w:w="6762" w:type="dxa"/>
            <w:tcBorders>
              <w:top w:val="nil"/>
              <w:left w:val="nil"/>
              <w:bottom w:val="nil"/>
              <w:right w:val="nil"/>
            </w:tcBorders>
            <w:tcMar>
              <w:top w:w="0" w:type="dxa"/>
              <w:left w:w="62" w:type="dxa"/>
              <w:bottom w:w="0" w:type="dxa"/>
              <w:right w:w="62" w:type="dxa"/>
            </w:tcMar>
          </w:tcPr>
          <w:p w:rsidR="00000000" w:rsidRPr="00C332F9" w:rsidP="00C332F9">
            <w:pPr>
              <w:pStyle w:val="List"/>
            </w:pPr>
            <w:r w:rsidRPr="00C332F9">
              <w:t>2.1</w:t>
            </w:r>
            <w:r w:rsidRPr="00C332F9">
              <w:tab/>
              <w:t>Equipment is started up according to operating procedures</w:t>
            </w:r>
          </w:p>
          <w:p w:rsidR="00000000" w:rsidRPr="00C332F9" w:rsidP="00C332F9">
            <w:pPr>
              <w:pStyle w:val="List"/>
            </w:pPr>
            <w:r w:rsidRPr="00C332F9">
              <w:t>2.2</w:t>
            </w:r>
            <w:r w:rsidRPr="00C332F9">
              <w:tab/>
              <w:t>Equipment performance is checked for accuracy according to operating procedures</w:t>
            </w:r>
          </w:p>
          <w:p w:rsidR="00000000" w:rsidRPr="00C332F9" w:rsidP="00C332F9">
            <w:pPr>
              <w:pStyle w:val="List"/>
            </w:pPr>
            <w:r w:rsidRPr="00C332F9">
              <w:t>2.3</w:t>
            </w:r>
            <w:r w:rsidRPr="00C332F9">
              <w:tab/>
              <w:t>Results of pre-sta</w:t>
            </w:r>
            <w:r w:rsidRPr="00C332F9">
              <w:t>rt checks are recorded according to operating procedures</w:t>
            </w:r>
          </w:p>
          <w:p w:rsidR="00000000" w:rsidP="00C332F9">
            <w:pPr>
              <w:pStyle w:val="List"/>
              <w:rPr>
                <w:lang w:val="en-NZ"/>
              </w:rPr>
            </w:pPr>
            <w:r w:rsidRPr="00C332F9">
              <w:t>2.4</w:t>
            </w:r>
            <w:r w:rsidRPr="00C332F9">
              <w:tab/>
              <w:t>Out-of-specification equipment is quarantined</w:t>
            </w:r>
          </w:p>
        </w:tc>
      </w:tr>
      <w:tr w:rsidTr="00C332F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32F9">
            <w:pPr>
              <w:pStyle w:val="List"/>
              <w:rPr>
                <w:lang w:val="en-NZ"/>
              </w:rPr>
            </w:pPr>
            <w:r w:rsidRPr="00C332F9">
              <w:t>3.</w:t>
            </w:r>
            <w:r w:rsidRPr="00C332F9">
              <w:tab/>
              <w:t>Assist with equipment maintenance</w:t>
            </w:r>
          </w:p>
        </w:tc>
        <w:tc>
          <w:tcPr>
            <w:tcW w:w="6762" w:type="dxa"/>
            <w:tcBorders>
              <w:top w:val="nil"/>
              <w:left w:val="nil"/>
              <w:bottom w:val="nil"/>
              <w:right w:val="nil"/>
            </w:tcBorders>
            <w:tcMar>
              <w:top w:w="0" w:type="dxa"/>
              <w:left w:w="62" w:type="dxa"/>
              <w:bottom w:w="0" w:type="dxa"/>
              <w:right w:w="62" w:type="dxa"/>
            </w:tcMar>
          </w:tcPr>
          <w:p w:rsidR="00000000" w:rsidRPr="00C332F9" w:rsidP="00C332F9">
            <w:pPr>
              <w:pStyle w:val="List"/>
            </w:pPr>
            <w:r w:rsidRPr="00C332F9">
              <w:t>3.1</w:t>
            </w:r>
            <w:r w:rsidRPr="00C332F9">
              <w:tab/>
              <w:t>All equipment work areas are cleaned during and after equipment use</w:t>
            </w:r>
          </w:p>
          <w:p w:rsidR="00000000" w:rsidRPr="00C332F9" w:rsidP="00C332F9">
            <w:pPr>
              <w:pStyle w:val="List"/>
            </w:pPr>
            <w:r w:rsidRPr="00C332F9">
              <w:t>3.2</w:t>
            </w:r>
            <w:r w:rsidRPr="00C332F9">
              <w:tab/>
              <w:t>Work is conducted in accordance wit</w:t>
            </w:r>
            <w:r w:rsidRPr="00C332F9">
              <w:t>h workplace environmental guidelines</w:t>
            </w:r>
          </w:p>
          <w:p w:rsidR="00000000" w:rsidRPr="00C332F9" w:rsidP="00C332F9">
            <w:pPr>
              <w:pStyle w:val="List"/>
            </w:pPr>
            <w:r w:rsidRPr="00C332F9">
              <w:t>3.3</w:t>
            </w:r>
            <w:r w:rsidRPr="00C332F9">
              <w:tab/>
              <w:t>Basic maintenance is performed in accordance with enterprise procedures</w:t>
            </w:r>
          </w:p>
          <w:p w:rsidR="00000000" w:rsidRPr="00C332F9" w:rsidP="00C332F9">
            <w:pPr>
              <w:pStyle w:val="List"/>
            </w:pPr>
            <w:r w:rsidRPr="00C332F9">
              <w:t>3.4</w:t>
            </w:r>
            <w:r w:rsidRPr="00C332F9">
              <w:tab/>
              <w:t>Equipment is cleaned and stored according to enterprise and/or manufacturer specifications or procedures</w:t>
            </w:r>
          </w:p>
          <w:p w:rsidR="00000000" w:rsidP="00C332F9">
            <w:pPr>
              <w:pStyle w:val="List"/>
              <w:rPr>
                <w:lang w:val="en-NZ"/>
              </w:rPr>
            </w:pPr>
            <w:r w:rsidRPr="00C332F9">
              <w:t>3.5</w:t>
            </w:r>
            <w:r w:rsidRPr="00C332F9">
              <w:tab/>
              <w:t>Damaged or worn equipment is i</w:t>
            </w:r>
            <w:r w:rsidRPr="00C332F9">
              <w:t>dentified and replaced, repaired or disposed of as appropriate</w:t>
            </w:r>
          </w:p>
        </w:tc>
      </w:tr>
      <w:tr w:rsidTr="00C332F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32F9">
            <w:pPr>
              <w:pStyle w:val="List"/>
              <w:rPr>
                <w:lang w:val="en-NZ"/>
              </w:rPr>
            </w:pPr>
            <w:r w:rsidRPr="00C332F9">
              <w:t>4.</w:t>
            </w:r>
            <w:r w:rsidRPr="00C332F9">
              <w:tab/>
              <w:t>Maintain records</w:t>
            </w:r>
          </w:p>
        </w:tc>
        <w:tc>
          <w:tcPr>
            <w:tcW w:w="6762" w:type="dxa"/>
            <w:tcBorders>
              <w:top w:val="nil"/>
              <w:left w:val="nil"/>
              <w:bottom w:val="nil"/>
              <w:right w:val="nil"/>
            </w:tcBorders>
            <w:tcMar>
              <w:top w:w="0" w:type="dxa"/>
              <w:left w:w="62" w:type="dxa"/>
              <w:bottom w:w="0" w:type="dxa"/>
              <w:right w:w="62" w:type="dxa"/>
            </w:tcMar>
          </w:tcPr>
          <w:p w:rsidR="00000000" w:rsidRPr="00C332F9" w:rsidP="00C332F9">
            <w:pPr>
              <w:pStyle w:val="List"/>
            </w:pPr>
            <w:r w:rsidRPr="00C332F9">
              <w:t>4.1</w:t>
            </w:r>
            <w:r w:rsidRPr="00C332F9">
              <w:tab/>
              <w:t xml:space="preserve">Equipment logs are maintained in accordance with enterprise procedures </w:t>
            </w:r>
          </w:p>
          <w:p w:rsidR="00000000" w:rsidRPr="00C332F9" w:rsidP="00C332F9">
            <w:pPr>
              <w:pStyle w:val="List"/>
            </w:pPr>
            <w:r w:rsidRPr="00C332F9">
              <w:t>4.2</w:t>
            </w:r>
            <w:r w:rsidRPr="00C332F9">
              <w:tab/>
              <w:t>Information on unsafe or faulty equipment is recorded and reported as per enterprise procedu</w:t>
            </w:r>
            <w:r w:rsidRPr="00C332F9">
              <w:t>res</w:t>
            </w:r>
          </w:p>
        </w:tc>
      </w:tr>
    </w:tbl>
    <w:p w:rsidR="00000000" w:rsidRPr="00C332F9" w:rsidP="00C332F9">
      <w:pPr>
        <w:pStyle w:val="BodyText"/>
      </w:pPr>
    </w:p>
    <w:p w:rsidR="00000000" w:rsidRPr="00C332F9" w:rsidP="00C332F9">
      <w:pPr>
        <w:pStyle w:val="AllowPageBreak"/>
      </w:pPr>
    </w:p>
    <w:p w:rsidR="00000000" w:rsidRPr="00C332F9" w:rsidP="00C332F9">
      <w:pPr>
        <w:pStyle w:val="Heading1"/>
      </w:pPr>
      <w:bookmarkStart w:id="9" w:name="O_488040"/>
      <w:bookmarkEnd w:id="9"/>
      <w:r w:rsidRPr="00C332F9">
        <w:t>Required Skills and Knowledge</w:t>
      </w:r>
    </w:p>
    <w:tbl>
      <w:tblPr>
        <w:tblW w:w="9462" w:type="dxa"/>
        <w:tblLayout w:type="fixed"/>
        <w:tblCellMar>
          <w:left w:w="62" w:type="dxa"/>
          <w:right w:w="62" w:type="dxa"/>
        </w:tblCellMar>
        <w:tblLook w:val="0000"/>
      </w:tblPr>
      <w:tblGrid>
        <w:gridCol w:w="9462"/>
      </w:tblGrid>
      <w:tr w:rsidTr="00C332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332F9">
            <w:pPr>
              <w:pStyle w:val="BodyText"/>
              <w:rPr>
                <w:lang w:val="en-NZ"/>
              </w:rPr>
            </w:pPr>
            <w:r w:rsidRPr="00C332F9">
              <w:t>This section describes the skills and knowledge required for this unit.</w:t>
            </w:r>
          </w:p>
        </w:tc>
      </w:tr>
      <w:tr w:rsidTr="00C332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332F9">
            <w:pPr>
              <w:pStyle w:val="TableHeading"/>
              <w:rPr>
                <w:lang w:val="en-NZ"/>
              </w:rPr>
            </w:pPr>
            <w:r w:rsidRPr="00C332F9">
              <w:t>Required skills include:</w:t>
            </w:r>
          </w:p>
        </w:tc>
      </w:tr>
      <w:tr w:rsidTr="00C332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332F9" w:rsidP="00C332F9">
            <w:pPr>
              <w:pStyle w:val="BodyText"/>
            </w:pPr>
            <w:r w:rsidRPr="00C332F9">
              <w:t>Note: The following required skills should be applied as appropriate</w:t>
            </w:r>
            <w:r w:rsidRPr="00C332F9">
              <w:t xml:space="preserve"> to the equipment and processes that are used in the particular winery or workplace.</w:t>
            </w:r>
          </w:p>
          <w:p w:rsidR="00000000" w:rsidRPr="00C332F9" w:rsidP="00C332F9">
            <w:pPr>
              <w:pStyle w:val="BodyText"/>
            </w:pPr>
            <w:r w:rsidRPr="00C332F9">
              <w:rPr>
                <w:rStyle w:val="SpecialBold"/>
              </w:rPr>
              <w:t>Ability to:</w:t>
            </w:r>
          </w:p>
          <w:p w:rsidR="00000000" w:rsidRPr="00C332F9" w:rsidP="00C332F9">
            <w:pPr>
              <w:pStyle w:val="ListBullet"/>
            </w:pPr>
            <w:r w:rsidRPr="00C332F9">
              <w:t>access and interpret technical information</w:t>
            </w:r>
          </w:p>
          <w:p w:rsidR="00000000" w:rsidRPr="00C332F9" w:rsidP="00C332F9">
            <w:pPr>
              <w:pStyle w:val="ListBullet"/>
            </w:pPr>
            <w:r w:rsidRPr="00C332F9">
              <w:t>select, fit and use appropriate personal protective clothing and/or equipment</w:t>
            </w:r>
          </w:p>
          <w:p w:rsidR="00000000" w:rsidRPr="00C332F9" w:rsidP="00C332F9">
            <w:pPr>
              <w:pStyle w:val="ListBullet"/>
            </w:pPr>
            <w:r w:rsidRPr="00C332F9">
              <w:t>confirm availability of necessary mat</w:t>
            </w:r>
            <w:r w:rsidRPr="00C332F9">
              <w:t>erials, equipment and services</w:t>
            </w:r>
          </w:p>
          <w:p w:rsidR="00000000" w:rsidRPr="00C332F9" w:rsidP="00C332F9">
            <w:pPr>
              <w:pStyle w:val="ListBullet"/>
            </w:pPr>
            <w:r w:rsidRPr="00C332F9">
              <w:t>confirm equipment status and condition. This may include:</w:t>
            </w:r>
          </w:p>
          <w:p w:rsidR="00000000" w:rsidRPr="00C332F9" w:rsidP="00C332F9">
            <w:pPr>
              <w:pStyle w:val="ListBullet2"/>
            </w:pPr>
            <w:r w:rsidRPr="00C332F9">
              <w:t>confirm that test equipment is operating accurately</w:t>
            </w:r>
          </w:p>
          <w:p w:rsidR="00000000" w:rsidRPr="00C332F9" w:rsidP="00C332F9">
            <w:pPr>
              <w:pStyle w:val="ListBullet2"/>
            </w:pPr>
            <w:r w:rsidRPr="00C332F9">
              <w:t>recognise and rejecting contaminated or faulty glassware and equipment</w:t>
            </w:r>
          </w:p>
          <w:p w:rsidR="00000000" w:rsidRPr="00C332F9" w:rsidP="00C332F9">
            <w:pPr>
              <w:pStyle w:val="ListBullet2"/>
            </w:pPr>
            <w:r w:rsidRPr="00C332F9">
              <w:t>perform safety checks</w:t>
            </w:r>
          </w:p>
          <w:p w:rsidR="00000000" w:rsidRPr="00C332F9" w:rsidP="00C332F9">
            <w:pPr>
              <w:pStyle w:val="ListBullet2"/>
            </w:pPr>
            <w:r w:rsidRPr="00C332F9">
              <w:t>replace consumables</w:t>
            </w:r>
          </w:p>
          <w:p w:rsidR="00000000" w:rsidRPr="00C332F9" w:rsidP="00C332F9">
            <w:pPr>
              <w:pStyle w:val="ListBullet2"/>
            </w:pPr>
            <w:r w:rsidRPr="00C332F9">
              <w:t>perform instrument setting</w:t>
            </w:r>
          </w:p>
          <w:p w:rsidR="00000000" w:rsidRPr="00C332F9" w:rsidP="00C332F9">
            <w:pPr>
              <w:pStyle w:val="ListBullet"/>
            </w:pPr>
            <w:r w:rsidRPr="00C332F9">
              <w:t>monitor test equipment to identify out-of-standard results or non-compliance</w:t>
            </w:r>
          </w:p>
          <w:p w:rsidR="00000000" w:rsidRPr="00C332F9" w:rsidP="00C332F9">
            <w:pPr>
              <w:pStyle w:val="ListBullet"/>
            </w:pPr>
            <w:r w:rsidRPr="00C332F9">
              <w:t>take corrective action in response to out-of-standard results, anomalies or non-compliance</w:t>
            </w:r>
          </w:p>
          <w:p w:rsidR="00000000" w:rsidRPr="00C332F9" w:rsidP="00C332F9">
            <w:pPr>
              <w:pStyle w:val="ListBullet"/>
            </w:pPr>
            <w:r w:rsidRPr="00C332F9">
              <w:t>report and/or record corrective action according to workplac</w:t>
            </w:r>
            <w:r w:rsidRPr="00C332F9">
              <w:t>e procedures</w:t>
            </w:r>
          </w:p>
          <w:p w:rsidR="00000000" w:rsidRPr="00C332F9" w:rsidP="00C332F9">
            <w:pPr>
              <w:pStyle w:val="ListBullet"/>
            </w:pPr>
            <w:r w:rsidRPr="00C332F9">
              <w:t>sort, collect, treat, recycle or dispose of waste</w:t>
            </w:r>
          </w:p>
          <w:p w:rsidR="00000000" w:rsidRPr="00C332F9" w:rsidP="00C332F9">
            <w:pPr>
              <w:pStyle w:val="ListBullet"/>
            </w:pPr>
            <w:r w:rsidRPr="00C332F9">
              <w:t>shut down equipment</w:t>
            </w:r>
          </w:p>
          <w:p w:rsidR="00000000" w:rsidRPr="00C332F9" w:rsidP="00C332F9">
            <w:pPr>
              <w:pStyle w:val="ListBullet"/>
            </w:pPr>
            <w:r w:rsidRPr="00C332F9">
              <w:t>maintain work area to meet housekeeping standards</w:t>
            </w:r>
          </w:p>
          <w:p w:rsidR="00000000" w:rsidRPr="00C332F9" w:rsidP="00C332F9">
            <w:pPr>
              <w:pStyle w:val="ListBullet"/>
            </w:pPr>
            <w:r w:rsidRPr="00C332F9">
              <w:t>use oral communication skills/language to fulfil the job role as specified by the organisation, including questioning, acti</w:t>
            </w:r>
            <w:r w:rsidRPr="00C332F9">
              <w:t>ve listening, asking for clarification and seeking advice from supervisor</w:t>
            </w:r>
          </w:p>
          <w:p w:rsidR="00000000" w:rsidP="00C332F9">
            <w:pPr>
              <w:pStyle w:val="ListBullet"/>
              <w:rPr>
                <w:lang w:val="en-NZ"/>
              </w:rPr>
            </w:pPr>
            <w:r w:rsidRPr="00C332F9">
              <w:t>work cooperatively within a culturally diverse workforce.</w:t>
            </w:r>
          </w:p>
        </w:tc>
      </w:tr>
      <w:tr w:rsidTr="00C332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332F9">
            <w:pPr>
              <w:pStyle w:val="TableHeading"/>
              <w:rPr>
                <w:lang w:val="en-NZ"/>
              </w:rPr>
            </w:pPr>
            <w:r w:rsidRPr="00C332F9">
              <w:t>Required knowledge includes:</w:t>
            </w:r>
          </w:p>
        </w:tc>
      </w:tr>
      <w:tr w:rsidTr="00C332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332F9" w:rsidP="00C332F9">
            <w:pPr>
              <w:pStyle w:val="BodyText"/>
            </w:pPr>
            <w:r w:rsidRPr="00C332F9">
              <w:t>Note: The following required knowledge should be applied as appropriate to the equipment and processes that are used in the particular winery or workplace.</w:t>
            </w:r>
          </w:p>
          <w:p w:rsidR="00000000" w:rsidRPr="00C332F9" w:rsidP="00C332F9">
            <w:pPr>
              <w:pStyle w:val="BodyText"/>
            </w:pPr>
            <w:r w:rsidRPr="00C332F9">
              <w:rPr>
                <w:rStyle w:val="SpecialBold"/>
              </w:rPr>
              <w:t>Knowledge of</w:t>
            </w:r>
            <w:r w:rsidRPr="00C332F9">
              <w:rPr>
                <w:rStyle w:val="BoldandItalics"/>
              </w:rPr>
              <w:t>:</w:t>
            </w:r>
          </w:p>
          <w:p w:rsidR="00000000" w:rsidRPr="00C332F9" w:rsidP="00C332F9">
            <w:pPr>
              <w:pStyle w:val="ListBullet"/>
            </w:pPr>
            <w:r w:rsidRPr="00C332F9">
              <w:t>operational principles and methods for equipment use</w:t>
            </w:r>
          </w:p>
          <w:p w:rsidR="00000000" w:rsidRPr="00C332F9" w:rsidP="00C332F9">
            <w:pPr>
              <w:pStyle w:val="ListBullet"/>
            </w:pPr>
            <w:r w:rsidRPr="00C332F9">
              <w:t>basic sources of error in equipm</w:t>
            </w:r>
            <w:r w:rsidRPr="00C332F9">
              <w:t>ent operation and their control</w:t>
            </w:r>
          </w:p>
          <w:p w:rsidR="00000000" w:rsidRPr="00C332F9" w:rsidP="00C332F9">
            <w:pPr>
              <w:pStyle w:val="ListBullet"/>
            </w:pPr>
            <w:r w:rsidRPr="00C332F9">
              <w:t>role and importance of correct equipment checking and testing</w:t>
            </w:r>
          </w:p>
          <w:p w:rsidR="00000000" w:rsidRPr="00C332F9" w:rsidP="00C332F9">
            <w:pPr>
              <w:pStyle w:val="ListBullet"/>
            </w:pPr>
            <w:r w:rsidRPr="00C332F9">
              <w:t>basic equipment maintenance procedures</w:t>
            </w:r>
          </w:p>
          <w:p w:rsidR="00000000" w:rsidRPr="00C332F9" w:rsidP="00C332F9">
            <w:pPr>
              <w:pStyle w:val="ListBullet"/>
            </w:pPr>
            <w:r w:rsidRPr="00C332F9">
              <w:t>correct occupational health and safety (OHS) procedures</w:t>
            </w:r>
          </w:p>
          <w:p w:rsidR="00000000" w:rsidRPr="00C332F9" w:rsidP="00C332F9">
            <w:pPr>
              <w:pStyle w:val="ListBullet"/>
            </w:pPr>
            <w:r w:rsidRPr="00C332F9">
              <w:t>enterprise communication and reporting procedures</w:t>
            </w:r>
          </w:p>
          <w:p w:rsidR="00000000" w:rsidRPr="00C332F9" w:rsidP="00C332F9">
            <w:pPr>
              <w:pStyle w:val="ListBullet"/>
            </w:pPr>
            <w:r w:rsidRPr="00C332F9">
              <w:t>function of key c</w:t>
            </w:r>
            <w:r w:rsidRPr="00C332F9">
              <w:t>omponents of the instrument</w:t>
            </w:r>
          </w:p>
          <w:p w:rsidR="00000000" w:rsidRPr="00C332F9" w:rsidP="00C332F9">
            <w:pPr>
              <w:pStyle w:val="ListBullet"/>
            </w:pPr>
            <w:r w:rsidRPr="00C332F9">
              <w:t>effects of environmental conditions and controls on testing</w:t>
            </w:r>
          </w:p>
          <w:p w:rsidR="00000000" w:rsidRPr="00C332F9" w:rsidP="00C332F9">
            <w:pPr>
              <w:pStyle w:val="ListBullet"/>
            </w:pPr>
            <w:r w:rsidRPr="00C332F9">
              <w:t>procedures and responsibility for reporting problems</w:t>
            </w:r>
          </w:p>
          <w:p w:rsidR="00000000" w:rsidRPr="00C332F9" w:rsidP="00C332F9">
            <w:pPr>
              <w:pStyle w:val="ListBullet"/>
            </w:pPr>
            <w:r w:rsidRPr="00C332F9">
              <w:t>recording requirements and procedures.</w:t>
            </w:r>
          </w:p>
        </w:tc>
      </w:tr>
    </w:tbl>
    <w:p w:rsidR="00000000" w:rsidRPr="00C332F9" w:rsidP="00C332F9">
      <w:pPr>
        <w:pStyle w:val="BodyText"/>
      </w:pPr>
    </w:p>
    <w:p w:rsidR="00000000" w:rsidRPr="00C332F9" w:rsidP="00C332F9">
      <w:pPr>
        <w:pStyle w:val="AllowPageBreak"/>
      </w:pPr>
    </w:p>
    <w:p w:rsidR="00000000" w:rsidRPr="00C332F9" w:rsidP="00C332F9">
      <w:pPr>
        <w:pStyle w:val="Heading1"/>
      </w:pPr>
      <w:bookmarkStart w:id="10" w:name="O_488047"/>
      <w:bookmarkEnd w:id="10"/>
      <w:r w:rsidRPr="00C332F9">
        <w:t>Evidence Guide</w:t>
      </w:r>
    </w:p>
    <w:tbl>
      <w:tblPr>
        <w:tblW w:w="9462" w:type="dxa"/>
        <w:tblLayout w:type="fixed"/>
        <w:tblCellMar>
          <w:left w:w="62" w:type="dxa"/>
          <w:right w:w="62" w:type="dxa"/>
        </w:tblCellMar>
        <w:tblLook w:val="0000"/>
      </w:tblPr>
      <w:tblGrid>
        <w:gridCol w:w="3800"/>
        <w:gridCol w:w="5662"/>
      </w:tblGrid>
      <w:tr w:rsidTr="00C332F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32F9">
            <w:pPr>
              <w:pStyle w:val="TableHeading"/>
              <w:rPr>
                <w:lang w:val="en-NZ"/>
              </w:rPr>
            </w:pPr>
            <w:r w:rsidRPr="00C332F9">
              <w:t>EVIDENCE GUIDE</w:t>
            </w:r>
          </w:p>
        </w:tc>
      </w:tr>
      <w:tr w:rsidTr="00C332F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The evidence guide provides advice on assessment and must be read in conjunction with the performance criteria, required skills and knowledge, range statement and the Assessment Guidelines for the Training Package.</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 xml:space="preserve">Assessment must </w:t>
            </w:r>
            <w:r w:rsidRPr="00C332F9">
              <w:t>be carried out in a manner that recognises the cultural and literacy requirements of the assessee and is appropriate to the work performed. Competence in this unit must be achieved in accordance with food safety standards and regulations.</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Critical aspects</w:t>
            </w:r>
            <w:r w:rsidRPr="00C332F9">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Evidence of ability to:</w:t>
            </w:r>
          </w:p>
          <w:p w:rsidR="00000000" w:rsidRPr="00C332F9" w:rsidP="00C332F9">
            <w:pPr>
              <w:pStyle w:val="ListBullet"/>
            </w:pPr>
            <w:r w:rsidRPr="00C332F9">
              <w:t>perform set-up pre-use checks and shutdown procedures</w:t>
            </w:r>
          </w:p>
          <w:p w:rsidR="00000000" w:rsidRPr="00C332F9" w:rsidP="00C332F9">
            <w:pPr>
              <w:pStyle w:val="ListBullet"/>
            </w:pPr>
            <w:r w:rsidRPr="00C332F9">
              <w:t>check basic equipment using standard procedures</w:t>
            </w:r>
          </w:p>
          <w:p w:rsidR="00000000" w:rsidRPr="00C332F9" w:rsidP="00C332F9">
            <w:pPr>
              <w:pStyle w:val="ListBullet"/>
            </w:pPr>
            <w:r w:rsidRPr="00C332F9">
              <w:t>obtain readings of the required accuracy and precision</w:t>
            </w:r>
          </w:p>
          <w:p w:rsidR="00000000" w:rsidRPr="00C332F9" w:rsidP="00C332F9">
            <w:pPr>
              <w:pStyle w:val="ListBullet"/>
            </w:pPr>
            <w:r w:rsidRPr="00C332F9">
              <w:t>recognise non-standard behaviour of instruments</w:t>
            </w:r>
          </w:p>
          <w:p w:rsidR="00000000" w:rsidRPr="00C332F9" w:rsidP="00C332F9">
            <w:pPr>
              <w:pStyle w:val="ListBullet"/>
            </w:pPr>
            <w:r w:rsidRPr="00C332F9">
              <w:t>assist with maintaining equipment in working order</w:t>
            </w:r>
          </w:p>
          <w:p w:rsidR="00000000" w:rsidRPr="00C332F9" w:rsidP="00C332F9">
            <w:pPr>
              <w:pStyle w:val="ListBullet"/>
            </w:pPr>
            <w:r w:rsidRPr="00C332F9">
              <w:t>follow all relevant OHS requirements</w:t>
            </w:r>
          </w:p>
          <w:p w:rsidR="00000000" w:rsidP="00C332F9">
            <w:pPr>
              <w:pStyle w:val="ListBullet"/>
              <w:rPr>
                <w:lang w:val="en-NZ"/>
              </w:rPr>
            </w:pPr>
            <w:r w:rsidRPr="00C332F9">
              <w:t>follow enterprise recording and reporting procedures.</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Context of</w:t>
            </w:r>
            <w:r w:rsidRPr="00C332F9">
              <w:t xml:space="preserve">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Assessment must occur in a real or simulated workplace where the assessee has access to:</w:t>
            </w:r>
          </w:p>
          <w:p w:rsidR="00000000" w:rsidRPr="00C332F9" w:rsidP="00C332F9">
            <w:pPr>
              <w:pStyle w:val="ListBullet"/>
            </w:pPr>
            <w:r w:rsidRPr="00C332F9">
              <w:t>personal protective clothing and equipment as required</w:t>
            </w:r>
          </w:p>
          <w:p w:rsidR="00000000" w:rsidRPr="00C332F9" w:rsidP="00C332F9">
            <w:pPr>
              <w:pStyle w:val="ListBullet"/>
            </w:pPr>
            <w:r w:rsidRPr="00C332F9">
              <w:t>work procedures, including advice on company practices, safe work practi</w:t>
            </w:r>
            <w:r w:rsidRPr="00C332F9">
              <w:t>ces, food safety, quality and environmental requirements</w:t>
            </w:r>
          </w:p>
          <w:p w:rsidR="00000000" w:rsidRPr="00C332F9" w:rsidP="00C332F9">
            <w:pPr>
              <w:pStyle w:val="ListBullet"/>
            </w:pPr>
            <w:r w:rsidRPr="00C332F9">
              <w:t>standard laboratory equipped with appropriate spectrometers</w:t>
            </w:r>
          </w:p>
          <w:p w:rsidR="00000000" w:rsidRPr="00C332F9" w:rsidP="00C332F9">
            <w:pPr>
              <w:pStyle w:val="ListBullet"/>
            </w:pPr>
            <w:r w:rsidRPr="00C332F9">
              <w:t>standard laboratory equipped with appropriate equipment and reference manuals</w:t>
            </w:r>
          </w:p>
          <w:p w:rsidR="00000000" w:rsidRPr="00C332F9" w:rsidP="00C332F9">
            <w:pPr>
              <w:pStyle w:val="ListBullet"/>
            </w:pPr>
            <w:r w:rsidRPr="00C332F9">
              <w:t>SOPs, calibration standards and procedures, maintenance proce</w:t>
            </w:r>
            <w:r w:rsidRPr="00C332F9">
              <w:t>dures.</w:t>
            </w:r>
          </w:p>
          <w:p w:rsidR="00000000" w:rsidP="00C332F9">
            <w:pPr>
              <w:pStyle w:val="ListBullet"/>
              <w:rPr>
                <w:lang w:val="en-NZ"/>
              </w:rPr>
            </w:pPr>
            <w:r w:rsidRPr="00C332F9">
              <w:t>documentation and recording requirements and procedures.</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This unit should be assessed together with core units and other units of competency relevant to the function or work role.</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 xml:space="preserve">To ensure consistency in one's performance, competence should be demonstrated on more than one occasion over </w:t>
            </w:r>
            <w:r w:rsidRPr="00C332F9">
              <w:t>a period of time in order to cover a variety of circumstances, cases and responsibilities, and where possible, over a number of assessment activiti</w:t>
            </w:r>
            <w:r w:rsidRPr="00C332F9">
              <w:t>es.</w:t>
            </w:r>
          </w:p>
        </w:tc>
      </w:tr>
    </w:tbl>
    <w:p w:rsidR="00B4448B" w:rsidP="00C332F9">
      <w:pPr>
        <w:pStyle w:val="BodyText"/>
      </w:pPr>
    </w:p>
    <w:p w:rsidR="00B4448B" w:rsidP="00C332F9">
      <w:pPr>
        <w:pStyle w:val="BodyText"/>
      </w:pPr>
    </w:p>
    <w:p w:rsidR="00000000" w:rsidRPr="00C332F9" w:rsidP="00C332F9">
      <w:pPr>
        <w:pStyle w:val="Heading1"/>
      </w:pPr>
      <w:bookmarkStart w:id="11" w:name="O_488048"/>
      <w:bookmarkEnd w:id="11"/>
      <w:r w:rsidRPr="00C332F9">
        <w:t>Range Statement</w:t>
      </w:r>
    </w:p>
    <w:tbl>
      <w:tblPr>
        <w:tblW w:w="9462" w:type="dxa"/>
        <w:tblLayout w:type="fixed"/>
        <w:tblCellMar>
          <w:left w:w="62" w:type="dxa"/>
          <w:right w:w="62" w:type="dxa"/>
        </w:tblCellMar>
        <w:tblLook w:val="0000"/>
      </w:tblPr>
      <w:tblGrid>
        <w:gridCol w:w="3800"/>
        <w:gridCol w:w="5662"/>
      </w:tblGrid>
      <w:tr w:rsidTr="00C332F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32F9">
            <w:pPr>
              <w:pStyle w:val="TableHeading"/>
              <w:rPr>
                <w:lang w:val="en-NZ"/>
              </w:rPr>
            </w:pPr>
            <w:r w:rsidRPr="00C332F9">
              <w:t>RANGE STATEMENT</w:t>
            </w:r>
          </w:p>
        </w:tc>
      </w:tr>
      <w:tr w:rsidTr="00C332F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 xml:space="preserve">The range statement relates to the unit of competency as a whole. It allows for different work environments and situations that may affect </w:t>
            </w:r>
            <w:r w:rsidRPr="00C332F9">
              <w:t>performance. Bold italicised wording, if used in the performance criteria, is detailed below. Essential operating conditions that may be present with training and assessment (depending on the work situation, needs of the candidate, accessibility of the ite</w:t>
            </w:r>
            <w:r w:rsidRPr="00C332F9">
              <w:t>m, and local industry and regional contexts) may also be included.</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t>Work is carried out in accordance with workplace procedures, licensing requirements and legislative requirements</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Workplace information may include:</w:t>
            </w:r>
          </w:p>
          <w:p w:rsidR="00000000" w:rsidRPr="00C332F9" w:rsidP="00C332F9">
            <w:pPr>
              <w:pStyle w:val="ListBullet"/>
            </w:pPr>
            <w:r w:rsidRPr="00C332F9">
              <w:t>Standard Operating Procedures (SOPs)</w:t>
            </w:r>
          </w:p>
          <w:p w:rsidR="00000000" w:rsidRPr="00C332F9" w:rsidP="00C332F9">
            <w:pPr>
              <w:pStyle w:val="ListBullet"/>
            </w:pPr>
            <w:r w:rsidRPr="00C332F9">
              <w:t>specifications</w:t>
            </w:r>
          </w:p>
          <w:p w:rsidR="00000000" w:rsidRPr="00C332F9" w:rsidP="00C332F9">
            <w:pPr>
              <w:pStyle w:val="ListBullet"/>
            </w:pPr>
            <w:r w:rsidRPr="00C332F9">
              <w:t xml:space="preserve">production schedules </w:t>
            </w:r>
          </w:p>
          <w:p w:rsidR="00000000" w:rsidRPr="00C332F9" w:rsidP="00C332F9">
            <w:pPr>
              <w:pStyle w:val="ListBullet"/>
            </w:pPr>
            <w:r w:rsidRPr="00C332F9">
              <w:t>instructions</w:t>
            </w:r>
          </w:p>
          <w:p w:rsidR="00000000" w:rsidRPr="00C332F9" w:rsidP="00C332F9">
            <w:pPr>
              <w:pStyle w:val="ListBullet"/>
            </w:pPr>
            <w:r w:rsidRPr="00C332F9">
              <w:t>work notes</w:t>
            </w:r>
          </w:p>
          <w:p w:rsidR="00000000" w:rsidRPr="00C332F9" w:rsidP="00C332F9">
            <w:pPr>
              <w:pStyle w:val="ListBullet"/>
            </w:pPr>
            <w:r w:rsidRPr="00C332F9">
              <w:t>Material Safety Data Sheets (MSDS)</w:t>
            </w:r>
          </w:p>
          <w:p w:rsidR="00000000" w:rsidRPr="00C332F9" w:rsidP="00C332F9">
            <w:pPr>
              <w:pStyle w:val="ListBullet"/>
            </w:pPr>
            <w:r w:rsidRPr="00C332F9">
              <w:t xml:space="preserve">manufacturer instructions </w:t>
            </w:r>
          </w:p>
          <w:p w:rsidR="00000000" w:rsidP="00C332F9">
            <w:pPr>
              <w:pStyle w:val="ListBullet"/>
              <w:rPr>
                <w:lang w:val="en-NZ"/>
              </w:rPr>
            </w:pPr>
            <w:r w:rsidRPr="00C332F9">
              <w:t>verbal direction from laboratory manager, supervisor or seni</w:t>
            </w:r>
            <w:r w:rsidRPr="00C332F9">
              <w:t>or operator</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Equipment may vary and should include that listed in test procedure or directions for conducting analyses. Typical equipment may include:</w:t>
            </w:r>
          </w:p>
          <w:p w:rsidR="00000000" w:rsidRPr="00C332F9" w:rsidP="00C332F9">
            <w:pPr>
              <w:pStyle w:val="ListBullet"/>
            </w:pPr>
            <w:r w:rsidRPr="00C332F9">
              <w:t>balances, pipettes, burettes and volumetric glassware</w:t>
            </w:r>
          </w:p>
          <w:p w:rsidR="00000000" w:rsidRPr="00C332F9" w:rsidP="00C332F9">
            <w:pPr>
              <w:pStyle w:val="ListBullet"/>
            </w:pPr>
            <w:r w:rsidRPr="00C332F9">
              <w:t>optical microscopes</w:t>
            </w:r>
          </w:p>
          <w:p w:rsidR="00000000" w:rsidRPr="00C332F9" w:rsidP="00C332F9">
            <w:pPr>
              <w:pStyle w:val="ListBullet"/>
            </w:pPr>
            <w:r w:rsidRPr="00C332F9">
              <w:t>melting point apparatus, viscometers and hardness testing equipment</w:t>
            </w:r>
          </w:p>
          <w:p w:rsidR="00000000" w:rsidRPr="00C332F9" w:rsidP="00C332F9">
            <w:pPr>
              <w:pStyle w:val="ListBullet"/>
            </w:pPr>
            <w:r w:rsidRPr="00C332F9">
              <w:t>conductivity meters and pH meters</w:t>
            </w:r>
          </w:p>
          <w:p w:rsidR="00000000" w:rsidRPr="00C332F9" w:rsidP="00C332F9">
            <w:pPr>
              <w:pStyle w:val="ListBullet"/>
            </w:pPr>
            <w:r w:rsidRPr="00C332F9">
              <w:t>noise meters and blasting meters</w:t>
            </w:r>
          </w:p>
          <w:p w:rsidR="00000000" w:rsidRPr="00C332F9" w:rsidP="00C332F9">
            <w:pPr>
              <w:pStyle w:val="ListBullet"/>
            </w:pPr>
            <w:r w:rsidRPr="00C332F9">
              <w:t>disintegration apparatus, thermometers, incubators and water baths</w:t>
            </w:r>
          </w:p>
          <w:p w:rsidR="00000000" w:rsidRPr="00C332F9" w:rsidP="00C332F9">
            <w:pPr>
              <w:pStyle w:val="ListBullet"/>
            </w:pPr>
            <w:r w:rsidRPr="00C332F9">
              <w:t>colorimeters/spectrometers and polarimeters</w:t>
            </w:r>
          </w:p>
          <w:p w:rsidR="00000000" w:rsidRPr="00C332F9" w:rsidP="00C332F9">
            <w:pPr>
              <w:pStyle w:val="ListBullet"/>
            </w:pPr>
            <w:r w:rsidRPr="00C332F9">
              <w:t>compaction</w:t>
            </w:r>
            <w:r w:rsidRPr="00C332F9">
              <w:t xml:space="preserve"> rammers and soil classification equipment</w:t>
            </w:r>
          </w:p>
          <w:p w:rsidR="00000000" w:rsidRPr="00C332F9" w:rsidP="00C332F9">
            <w:pPr>
              <w:pStyle w:val="ListBullet"/>
            </w:pPr>
            <w:r w:rsidRPr="00C332F9">
              <w:t>instrument chart recorders, penetrometers, force measuring equipment and tensiometers</w:t>
            </w:r>
          </w:p>
          <w:p w:rsidR="00000000" w:rsidRPr="00C332F9" w:rsidP="00C332F9">
            <w:pPr>
              <w:pStyle w:val="ListBullet"/>
            </w:pPr>
            <w:r w:rsidRPr="00C332F9">
              <w:t>mixing and separating equipment, such as centrifuges, rifflers and splitters, and mixers</w:t>
            </w:r>
          </w:p>
          <w:p w:rsidR="00000000" w:rsidRPr="00C332F9" w:rsidP="00C332F9">
            <w:pPr>
              <w:pStyle w:val="ListBullet"/>
            </w:pPr>
            <w:r w:rsidRPr="00C332F9">
              <w:t>hydrometers (e.g. baumé, specific grav</w:t>
            </w:r>
            <w:r w:rsidRPr="00C332F9">
              <w:t>ity and alcoholometers)</w:t>
            </w:r>
          </w:p>
          <w:p w:rsidR="00000000" w:rsidRPr="00C332F9" w:rsidP="00C332F9">
            <w:pPr>
              <w:pStyle w:val="ListBullet"/>
            </w:pPr>
            <w:r w:rsidRPr="00C332F9">
              <w:t>turbidity meters</w:t>
            </w:r>
          </w:p>
          <w:p w:rsidR="00000000" w:rsidRPr="00C332F9" w:rsidP="00C332F9">
            <w:pPr>
              <w:pStyle w:val="ListBullet"/>
            </w:pPr>
            <w:r w:rsidRPr="00C332F9">
              <w:t>refractometers</w:t>
            </w:r>
          </w:p>
          <w:p w:rsidR="00000000" w:rsidP="00C332F9">
            <w:pPr>
              <w:pStyle w:val="ListBullet"/>
              <w:rPr>
                <w:lang w:val="en-NZ"/>
              </w:rPr>
            </w:pPr>
            <w:r w:rsidRPr="00C332F9">
              <w:t>calipers</w:t>
            </w:r>
          </w:p>
        </w:tc>
      </w:tr>
      <w:tr w:rsidTr="00C332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BodyText"/>
              <w:rPr>
                <w:lang w:val="en-NZ"/>
              </w:rPr>
            </w:pPr>
            <w:r w:rsidRPr="00C332F9">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Confirming equipment status involves:</w:t>
            </w:r>
          </w:p>
          <w:p w:rsidR="00000000" w:rsidRPr="00C332F9" w:rsidP="00C332F9">
            <w:pPr>
              <w:pStyle w:val="ListBullet"/>
            </w:pPr>
            <w:r w:rsidRPr="00C332F9">
              <w:t>checking that hygiene and sanitation standards, safety standards and pre-start requirements are met, and that equipment is operational</w:t>
            </w:r>
          </w:p>
          <w:p w:rsidR="00000000" w:rsidRPr="00C332F9" w:rsidP="00C332F9">
            <w:pPr>
              <w:pStyle w:val="ListBullet"/>
            </w:pPr>
            <w:r w:rsidRPr="00C332F9">
              <w:t>checking the operation of measuring instrumentation</w:t>
            </w:r>
          </w:p>
        </w:tc>
      </w:tr>
    </w:tbl>
    <w:p w:rsidR="00000000" w:rsidRPr="00C332F9" w:rsidP="00C332F9">
      <w:pPr>
        <w:pStyle w:val="BodyText"/>
      </w:pPr>
    </w:p>
    <w:p w:rsidR="00000000" w:rsidRPr="00C332F9" w:rsidP="00C332F9">
      <w:pPr>
        <w:pStyle w:val="AllowPageBreak"/>
      </w:pPr>
    </w:p>
    <w:p w:rsidR="00000000" w:rsidRPr="00C332F9" w:rsidP="00C332F9">
      <w:pPr>
        <w:pStyle w:val="Heading1"/>
      </w:pPr>
      <w:bookmarkStart w:id="12" w:name="O_488043"/>
      <w:bookmarkEnd w:id="12"/>
      <w:r w:rsidRPr="00C332F9">
        <w:t>Unit Sector(s)</w:t>
      </w:r>
    </w:p>
    <w:tbl>
      <w:tblPr>
        <w:tblW w:w="9462" w:type="dxa"/>
        <w:tblLayout w:type="fixed"/>
        <w:tblCellMar>
          <w:left w:w="62" w:type="dxa"/>
          <w:right w:w="62" w:type="dxa"/>
        </w:tblCellMar>
        <w:tblLook w:val="0000"/>
      </w:tblPr>
      <w:tblGrid>
        <w:gridCol w:w="2660"/>
        <w:gridCol w:w="6802"/>
      </w:tblGrid>
      <w:tr w:rsidTr="00C332F9">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2F9">
            <w:pPr>
              <w:pStyle w:val="Heading4"/>
              <w:rPr>
                <w:lang w:val="en-NZ"/>
              </w:rPr>
            </w:pPr>
            <w:r w:rsidRPr="00C332F9">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2F9" w:rsidP="00C332F9">
            <w:pPr>
              <w:pStyle w:val="BodyText"/>
            </w:pPr>
            <w:r w:rsidRPr="00C332F9">
              <w:t xml:space="preserve">Wine operations </w:t>
            </w:r>
          </w:p>
        </w:tc>
      </w:tr>
    </w:tbl>
    <w:p w:rsidR="00B4448B" w:rsidP="00C332F9">
      <w:pPr>
        <w:pStyle w:val="BodyText"/>
      </w:pPr>
    </w:p>
    <w:p w:rsidR="00B4448B" w:rsidP="00C332F9">
      <w:pPr>
        <w:pStyle w:val="BodyText"/>
      </w:pPr>
    </w:p>
    <w:p w:rsidR="00000000" w:rsidRPr="00C332F9" w:rsidP="00C332F9"/>
    <w:sectPr w:rsidSect="00C332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48B" w:rsidP="00B4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8B" w:rsidP="00C33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448B" w:rsidP="00C332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448B" w:rsidP="00C332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F9" w:rsidRPr="00B4448B" w:rsidP="00B444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8B" w:rsidRPr="002D2AF8" w:rsidP="00C332F9">
    <w:pPr>
      <w:pStyle w:val="Header"/>
      <w:framePr w:wrap="around"/>
    </w:pPr>
    <w:r>
      <w:fldChar w:fldCharType="begin"/>
    </w:r>
    <w:r>
      <w:instrText xml:space="preserve"> TITLE   \* MERGEFORMAT </w:instrText>
    </w:r>
    <w:r>
      <w:fldChar w:fldCharType="separate"/>
    </w:r>
    <w:r>
      <w:t>FDFLAB3004A Check and maintain readiness of wine testing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B4448B" w:rsidP="00C33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CA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C8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24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2F9"/>
    <w:pPr>
      <w:spacing w:before="360" w:after="60"/>
      <w:outlineLvl w:val="0"/>
    </w:pPr>
    <w:rPr>
      <w:sz w:val="32"/>
    </w:rPr>
  </w:style>
  <w:style w:type="paragraph" w:styleId="Heading2">
    <w:name w:val="heading 2"/>
    <w:basedOn w:val="HeadingBase"/>
    <w:next w:val="BodyText"/>
    <w:link w:val="Heading2Char"/>
    <w:qFormat/>
    <w:rsid w:val="00C332F9"/>
    <w:pPr>
      <w:keepLines/>
      <w:spacing w:before="240" w:after="120"/>
      <w:outlineLvl w:val="1"/>
    </w:pPr>
    <w:rPr>
      <w:sz w:val="28"/>
      <w:szCs w:val="40"/>
    </w:rPr>
  </w:style>
  <w:style w:type="paragraph" w:styleId="Heading3">
    <w:name w:val="heading 3"/>
    <w:basedOn w:val="HeadingBase"/>
    <w:next w:val="BodyText"/>
    <w:link w:val="Heading3Char"/>
    <w:qFormat/>
    <w:rsid w:val="00C332F9"/>
    <w:pPr>
      <w:spacing w:before="180" w:after="120"/>
      <w:outlineLvl w:val="2"/>
    </w:pPr>
    <w:rPr>
      <w:spacing w:val="-10"/>
      <w:kern w:val="32"/>
    </w:rPr>
  </w:style>
  <w:style w:type="paragraph" w:styleId="Heading4">
    <w:name w:val="heading 4"/>
    <w:basedOn w:val="HeadingBase"/>
    <w:next w:val="BodyText"/>
    <w:link w:val="Heading4Char"/>
    <w:qFormat/>
    <w:rsid w:val="00C332F9"/>
    <w:pPr>
      <w:spacing w:before="160" w:after="120"/>
      <w:outlineLvl w:val="3"/>
    </w:pPr>
    <w:rPr>
      <w:sz w:val="22"/>
    </w:rPr>
  </w:style>
  <w:style w:type="paragraph" w:styleId="Heading5">
    <w:name w:val="heading 5"/>
    <w:basedOn w:val="HeadingBase"/>
    <w:next w:val="Normal"/>
    <w:link w:val="Heading5Char"/>
    <w:qFormat/>
    <w:rsid w:val="00C332F9"/>
    <w:pPr>
      <w:spacing w:before="80"/>
      <w:outlineLvl w:val="4"/>
    </w:pPr>
    <w:rPr>
      <w:color w:val="918585"/>
      <w:sz w:val="20"/>
    </w:rPr>
  </w:style>
  <w:style w:type="paragraph" w:styleId="Heading6">
    <w:name w:val="heading 6"/>
    <w:basedOn w:val="HeadingBase"/>
    <w:next w:val="Normal"/>
    <w:link w:val="Heading6Char"/>
    <w:qFormat/>
    <w:rsid w:val="00C332F9"/>
    <w:pPr>
      <w:spacing w:before="60"/>
      <w:outlineLvl w:val="5"/>
    </w:pPr>
    <w:rPr>
      <w:color w:val="918585"/>
      <w:sz w:val="20"/>
    </w:rPr>
  </w:style>
  <w:style w:type="paragraph" w:styleId="Heading7">
    <w:name w:val="heading 7"/>
    <w:basedOn w:val="Normal"/>
    <w:next w:val="Normal"/>
    <w:link w:val="Heading7Char"/>
    <w:qFormat/>
    <w:rsid w:val="00C332F9"/>
    <w:pPr>
      <w:ind w:left="720"/>
      <w:outlineLvl w:val="6"/>
    </w:pPr>
    <w:rPr>
      <w:i/>
    </w:rPr>
  </w:style>
  <w:style w:type="paragraph" w:styleId="Heading8">
    <w:name w:val="heading 8"/>
    <w:basedOn w:val="Normal"/>
    <w:next w:val="Normal"/>
    <w:link w:val="Heading8Char"/>
    <w:qFormat/>
    <w:rsid w:val="00C332F9"/>
    <w:pPr>
      <w:ind w:left="720"/>
      <w:outlineLvl w:val="7"/>
    </w:pPr>
    <w:rPr>
      <w:i/>
    </w:rPr>
  </w:style>
  <w:style w:type="paragraph" w:styleId="Heading9">
    <w:name w:val="heading 9"/>
    <w:basedOn w:val="Normal"/>
    <w:next w:val="Normal"/>
    <w:link w:val="Heading9Char"/>
    <w:qFormat/>
    <w:rsid w:val="00C332F9"/>
    <w:pPr>
      <w:ind w:left="720"/>
      <w:outlineLvl w:val="8"/>
    </w:pPr>
    <w:rPr>
      <w:i/>
    </w:rPr>
  </w:style>
  <w:style w:type="character" w:default="1" w:styleId="DefaultParagraphFont">
    <w:name w:val="Default Paragraph Font"/>
    <w:uiPriority w:val="1"/>
    <w:unhideWhenUsed/>
    <w:rsid w:val="00C33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2F9"/>
  </w:style>
  <w:style w:type="character" w:customStyle="1" w:styleId="Heading1Char">
    <w:name w:val="Heading 1 Char"/>
    <w:basedOn w:val="DefaultParagraphFont"/>
    <w:link w:val="Heading1"/>
    <w:rsid w:val="00C332F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332F9"/>
    <w:rPr>
      <w:rFonts w:ascii="Times New Roman" w:eastAsia="Times New Roman" w:hAnsi="Times New Roman" w:cs="Times New Roman"/>
      <w:b/>
      <w:szCs w:val="20"/>
      <w:lang w:eastAsia="en-US"/>
    </w:rPr>
  </w:style>
  <w:style w:type="paragraph" w:styleId="BodyText">
    <w:name w:val="Body Text"/>
    <w:basedOn w:val="Normal"/>
    <w:link w:val="BodyTextChar"/>
    <w:rsid w:val="00C332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32F9"/>
    <w:rPr>
      <w:rFonts w:ascii="Times New Roman" w:eastAsia="Times New Roman" w:hAnsi="Times New Roman" w:cs="Times New Roman"/>
      <w:sz w:val="24"/>
      <w:lang w:eastAsia="en-US"/>
    </w:rPr>
  </w:style>
  <w:style w:type="paragraph" w:styleId="Footer">
    <w:name w:val="footer"/>
    <w:basedOn w:val="Normal"/>
    <w:link w:val="FooterChar"/>
    <w:rsid w:val="00C33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2F9"/>
    <w:rPr>
      <w:rFonts w:ascii="Times New Roman" w:eastAsia="Times New Roman" w:hAnsi="Times New Roman" w:cs="Times New Roman"/>
      <w:sz w:val="16"/>
      <w:lang w:eastAsia="en-US"/>
    </w:rPr>
  </w:style>
  <w:style w:type="paragraph" w:styleId="List">
    <w:name w:val="List"/>
    <w:basedOn w:val="BodyText"/>
    <w:next w:val="BodyText"/>
    <w:rsid w:val="00C332F9"/>
    <w:pPr>
      <w:tabs>
        <w:tab w:val="left" w:pos="340"/>
      </w:tabs>
      <w:spacing w:before="60" w:after="60"/>
      <w:ind w:left="340" w:hanging="340"/>
    </w:pPr>
  </w:style>
  <w:style w:type="paragraph" w:styleId="ListBullet">
    <w:name w:val="List Bullet"/>
    <w:basedOn w:val="List"/>
    <w:rsid w:val="00C332F9"/>
    <w:pPr>
      <w:numPr>
        <w:numId w:val="13"/>
      </w:numPr>
      <w:tabs>
        <w:tab w:val="clear" w:pos="340"/>
      </w:tabs>
      <w:spacing w:before="40" w:after="40"/>
    </w:pPr>
  </w:style>
  <w:style w:type="character" w:customStyle="1" w:styleId="SpecialBold">
    <w:name w:val="Special Bold"/>
    <w:basedOn w:val="DefaultParagraphFont"/>
    <w:rsid w:val="00C332F9"/>
    <w:rPr>
      <w:b/>
      <w:spacing w:val="0"/>
    </w:rPr>
  </w:style>
  <w:style w:type="paragraph" w:styleId="ListBullet2">
    <w:name w:val="List Bullet 2"/>
    <w:basedOn w:val="List2"/>
    <w:rsid w:val="00C332F9"/>
    <w:pPr>
      <w:numPr>
        <w:numId w:val="14"/>
      </w:numPr>
      <w:tabs>
        <w:tab w:val="clear" w:pos="680"/>
      </w:tabs>
    </w:pPr>
  </w:style>
  <w:style w:type="character" w:styleId="Emphasis">
    <w:name w:val="Emphasis"/>
    <w:basedOn w:val="DefaultParagraphFont"/>
    <w:qFormat/>
    <w:rsid w:val="00C332F9"/>
    <w:rPr>
      <w:i/>
    </w:rPr>
  </w:style>
  <w:style w:type="paragraph" w:customStyle="1" w:styleId="SuperHeading">
    <w:name w:val="SuperHeading"/>
    <w:basedOn w:val="Normal"/>
    <w:rsid w:val="00C332F9"/>
    <w:pPr>
      <w:spacing w:before="240" w:after="120"/>
      <w:outlineLvl w:val="0"/>
    </w:pPr>
    <w:rPr>
      <w:rFonts w:ascii="Times New Roman" w:hAnsi="Times New Roman"/>
      <w:b/>
      <w:sz w:val="28"/>
    </w:rPr>
  </w:style>
  <w:style w:type="paragraph" w:customStyle="1" w:styleId="TableHeading">
    <w:name w:val="Table Heading"/>
    <w:basedOn w:val="HeadingBase"/>
    <w:rsid w:val="00C332F9"/>
    <w:pPr>
      <w:keepLines/>
      <w:pBdr>
        <w:bottom w:val="single" w:sz="6" w:space="1" w:color="918585"/>
      </w:pBdr>
      <w:spacing w:before="240"/>
    </w:pPr>
  </w:style>
  <w:style w:type="paragraph" w:customStyle="1" w:styleId="AllowPageBreak">
    <w:name w:val="AllowPageBreak"/>
    <w:rsid w:val="00C33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32F9"/>
    <w:rPr>
      <w:b/>
      <w:i/>
      <w:u w:val="none"/>
    </w:rPr>
  </w:style>
  <w:style w:type="character" w:customStyle="1" w:styleId="Heading2Char">
    <w:name w:val="Heading 2 Char"/>
    <w:basedOn w:val="DefaultParagraphFont"/>
    <w:link w:val="Heading2"/>
    <w:rsid w:val="00C33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2F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33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2F9"/>
    <w:rPr>
      <w:rFonts w:ascii="Courier New" w:eastAsia="Times New Roman" w:hAnsi="Courier New" w:cs="Times New Roman"/>
      <w:i/>
      <w:szCs w:val="20"/>
      <w:lang w:eastAsia="en-US"/>
    </w:rPr>
  </w:style>
  <w:style w:type="paragraph" w:customStyle="1" w:styleId="HeadingBase">
    <w:name w:val="Heading Base"/>
    <w:rsid w:val="00C33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2F9"/>
    <w:pPr>
      <w:tabs>
        <w:tab w:val="right" w:leader="dot" w:pos="9072"/>
      </w:tabs>
      <w:ind w:left="567"/>
    </w:pPr>
    <w:rPr>
      <w:szCs w:val="22"/>
    </w:rPr>
  </w:style>
  <w:style w:type="paragraph" w:customStyle="1" w:styleId="TOCBase">
    <w:name w:val="TOC Base"/>
    <w:rsid w:val="00C33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2F9"/>
    <w:pPr>
      <w:tabs>
        <w:tab w:val="right" w:leader="dot" w:pos="9072"/>
      </w:tabs>
      <w:spacing w:before="40" w:after="40"/>
      <w:ind w:left="284"/>
    </w:pPr>
    <w:rPr>
      <w:rFonts w:ascii="Times New Roman" w:hAnsi="Times New Roman"/>
    </w:rPr>
  </w:style>
  <w:style w:type="paragraph" w:styleId="TOC1">
    <w:name w:val="toc 1"/>
    <w:basedOn w:val="TOCBase"/>
    <w:next w:val="Normal"/>
    <w:rsid w:val="00C332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32F9"/>
    <w:pPr>
      <w:spacing w:before="5040"/>
      <w:jc w:val="center"/>
    </w:pPr>
    <w:rPr>
      <w:sz w:val="48"/>
      <w:szCs w:val="72"/>
      <w:lang w:val="en-US"/>
    </w:rPr>
  </w:style>
  <w:style w:type="character" w:customStyle="1" w:styleId="TitleChar">
    <w:name w:val="Title Char"/>
    <w:basedOn w:val="DefaultParagraphFont"/>
    <w:link w:val="Title"/>
    <w:rsid w:val="00C33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2F9"/>
    <w:pPr>
      <w:tabs>
        <w:tab w:val="left" w:pos="3600"/>
        <w:tab w:val="left" w:pos="3958"/>
      </w:tabs>
    </w:pPr>
  </w:style>
  <w:style w:type="paragraph" w:customStyle="1" w:styleId="Note">
    <w:name w:val="Note"/>
    <w:basedOn w:val="BodyText"/>
    <w:rsid w:val="00C33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2F9"/>
    <w:pPr>
      <w:framePr w:wrap="auto" w:hAnchor="text" w:y="6049"/>
    </w:pPr>
    <w:rPr>
      <w:color w:val="000000"/>
      <w:sz w:val="40"/>
    </w:rPr>
  </w:style>
  <w:style w:type="paragraph" w:customStyle="1" w:styleId="TOCTitle">
    <w:name w:val="TOCTitle"/>
    <w:basedOn w:val="Heading1"/>
    <w:rsid w:val="00C332F9"/>
    <w:pPr>
      <w:spacing w:after="240"/>
      <w:jc w:val="center"/>
      <w:outlineLvl w:val="9"/>
    </w:pPr>
    <w:rPr>
      <w:caps/>
    </w:rPr>
  </w:style>
  <w:style w:type="paragraph" w:customStyle="1" w:styleId="Version">
    <w:name w:val="Version"/>
    <w:rsid w:val="00C33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2F9"/>
    <w:pPr>
      <w:keepNext w:val="0"/>
      <w:tabs>
        <w:tab w:val="right" w:pos="4176"/>
      </w:tabs>
      <w:ind w:left="198" w:hanging="198"/>
    </w:pPr>
    <w:rPr>
      <w:rFonts w:ascii="Garamond" w:hAnsi="Garamond"/>
    </w:rPr>
  </w:style>
  <w:style w:type="paragraph" w:styleId="IndexHeading">
    <w:name w:val="index heading"/>
    <w:basedOn w:val="Normal"/>
    <w:next w:val="Index1"/>
    <w:semiHidden/>
    <w:rsid w:val="00C332F9"/>
    <w:pPr>
      <w:spacing w:before="120" w:after="120"/>
    </w:pPr>
    <w:rPr>
      <w:rFonts w:ascii="Arial" w:hAnsi="Arial"/>
      <w:b/>
      <w:color w:val="918585"/>
      <w:sz w:val="24"/>
    </w:rPr>
  </w:style>
  <w:style w:type="paragraph" w:styleId="Header">
    <w:name w:val="header"/>
    <w:basedOn w:val="Normal"/>
    <w:link w:val="HeaderChar"/>
    <w:rsid w:val="00C33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2F9"/>
    <w:rPr>
      <w:rFonts w:ascii="Times New Roman" w:eastAsia="Times New Roman" w:hAnsi="Times New Roman" w:cs="Times New Roman"/>
      <w:sz w:val="16"/>
      <w:szCs w:val="20"/>
      <w:lang w:val="en-GB" w:eastAsia="en-US"/>
    </w:rPr>
  </w:style>
  <w:style w:type="paragraph" w:customStyle="1" w:styleId="Chapter">
    <w:name w:val="Chapter"/>
    <w:basedOn w:val="Normal"/>
    <w:rsid w:val="00C332F9"/>
    <w:pPr>
      <w:spacing w:before="240"/>
    </w:pPr>
    <w:rPr>
      <w:rFonts w:ascii="Times New Roman" w:hAnsi="Times New Roman"/>
      <w:smallCaps/>
      <w:spacing w:val="80"/>
      <w:sz w:val="28"/>
    </w:rPr>
  </w:style>
  <w:style w:type="paragraph" w:customStyle="1" w:styleId="InChapter">
    <w:name w:val="InChapter"/>
    <w:basedOn w:val="Heading3"/>
    <w:rsid w:val="00C332F9"/>
    <w:pPr>
      <w:spacing w:after="240"/>
      <w:outlineLvl w:val="9"/>
    </w:pPr>
    <w:rPr>
      <w:noProof/>
    </w:rPr>
  </w:style>
  <w:style w:type="paragraph" w:styleId="Index2">
    <w:name w:val="index 2"/>
    <w:basedOn w:val="Normal"/>
    <w:next w:val="Normal"/>
    <w:semiHidden/>
    <w:rsid w:val="00C332F9"/>
    <w:pPr>
      <w:tabs>
        <w:tab w:val="right" w:pos="4176"/>
      </w:tabs>
      <w:ind w:left="568" w:hanging="284"/>
    </w:pPr>
    <w:rPr>
      <w:rFonts w:ascii="Garamond" w:hAnsi="Garamond"/>
    </w:rPr>
  </w:style>
  <w:style w:type="paragraph" w:customStyle="1" w:styleId="Byline">
    <w:name w:val="Byline"/>
    <w:rsid w:val="00C33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2F9"/>
    <w:pPr>
      <w:tabs>
        <w:tab w:val="clear" w:pos="3600"/>
        <w:tab w:val="clear" w:pos="3958"/>
      </w:tabs>
      <w:jc w:val="right"/>
    </w:pPr>
  </w:style>
  <w:style w:type="paragraph" w:styleId="Caption">
    <w:name w:val="caption"/>
    <w:basedOn w:val="BodyText"/>
    <w:next w:val="Normal"/>
    <w:qFormat/>
    <w:rsid w:val="00C332F9"/>
    <w:pPr>
      <w:framePr w:w="2268" w:hSpace="181" w:vSpace="181" w:wrap="around" w:vAnchor="text" w:hAnchor="page" w:x="1135" w:y="285" w:anchorLock="1"/>
    </w:pPr>
    <w:rPr>
      <w:i/>
    </w:rPr>
  </w:style>
  <w:style w:type="paragraph" w:customStyle="1" w:styleId="MiniTOCTitle">
    <w:name w:val="MiniTOCTitle"/>
    <w:basedOn w:val="Heading4"/>
    <w:rsid w:val="00C332F9"/>
    <w:pPr>
      <w:spacing w:before="240"/>
      <w:outlineLvl w:val="9"/>
    </w:pPr>
    <w:rPr>
      <w:noProof/>
      <w:sz w:val="24"/>
    </w:rPr>
  </w:style>
  <w:style w:type="paragraph" w:customStyle="1" w:styleId="MiniTOCItem">
    <w:name w:val="MiniTOCItem"/>
    <w:basedOn w:val="ListBullet"/>
    <w:rsid w:val="00C332F9"/>
    <w:pPr>
      <w:numPr>
        <w:numId w:val="0"/>
      </w:numPr>
      <w:tabs>
        <w:tab w:val="right" w:leader="dot" w:pos="6521"/>
      </w:tabs>
      <w:spacing w:before="0" w:after="0"/>
    </w:pPr>
  </w:style>
  <w:style w:type="paragraph" w:customStyle="1" w:styleId="TOFTitle">
    <w:name w:val="TOFTitle"/>
    <w:basedOn w:val="TOCTitle"/>
    <w:rsid w:val="00C332F9"/>
  </w:style>
  <w:style w:type="paragraph" w:styleId="TableofFigures">
    <w:name w:val="table of figures"/>
    <w:basedOn w:val="Normal"/>
    <w:next w:val="Normal"/>
    <w:semiHidden/>
    <w:rsid w:val="00C332F9"/>
    <w:pPr>
      <w:tabs>
        <w:tab w:val="right" w:leader="dot" w:pos="9072"/>
      </w:tabs>
      <w:ind w:left="970" w:hanging="403"/>
    </w:pPr>
    <w:rPr>
      <w:rFonts w:ascii="Times New Roman" w:hAnsi="Times New Roman"/>
      <w:b/>
    </w:rPr>
  </w:style>
  <w:style w:type="paragraph" w:styleId="ListNumber">
    <w:name w:val="List Number"/>
    <w:basedOn w:val="List"/>
    <w:rsid w:val="00C332F9"/>
    <w:pPr>
      <w:numPr>
        <w:numId w:val="11"/>
      </w:numPr>
    </w:pPr>
  </w:style>
  <w:style w:type="character" w:customStyle="1" w:styleId="WingdingSymbols">
    <w:name w:val="Wingding Symbols"/>
    <w:rsid w:val="00C332F9"/>
    <w:rPr>
      <w:rFonts w:ascii="Wingdings" w:hAnsi="Wingdings"/>
    </w:rPr>
  </w:style>
  <w:style w:type="character" w:customStyle="1" w:styleId="HotSpot">
    <w:name w:val="HotSpot"/>
    <w:rsid w:val="00C332F9"/>
    <w:rPr>
      <w:color w:val="0033CC"/>
      <w:u w:val="none"/>
    </w:rPr>
  </w:style>
  <w:style w:type="paragraph" w:customStyle="1" w:styleId="BodyTextRight">
    <w:name w:val="Body Text Right"/>
    <w:basedOn w:val="BodyText"/>
    <w:rsid w:val="00C332F9"/>
    <w:pPr>
      <w:spacing w:before="0" w:after="0"/>
      <w:jc w:val="right"/>
    </w:pPr>
  </w:style>
  <w:style w:type="paragraph" w:styleId="Index3">
    <w:name w:val="index 3"/>
    <w:basedOn w:val="ListNumber2"/>
    <w:next w:val="Normal"/>
    <w:semiHidden/>
    <w:rsid w:val="00C332F9"/>
    <w:pPr>
      <w:numPr>
        <w:numId w:val="0"/>
      </w:numPr>
      <w:tabs>
        <w:tab w:val="right" w:leader="dot" w:pos="4176"/>
      </w:tabs>
    </w:pPr>
  </w:style>
  <w:style w:type="paragraph" w:styleId="ListNumber2">
    <w:name w:val="List Number 2"/>
    <w:basedOn w:val="List2"/>
    <w:rsid w:val="00C332F9"/>
    <w:pPr>
      <w:numPr>
        <w:numId w:val="10"/>
      </w:numPr>
      <w:tabs>
        <w:tab w:val="clear" w:pos="1060"/>
      </w:tabs>
    </w:pPr>
  </w:style>
  <w:style w:type="paragraph" w:customStyle="1" w:styleId="MarginNote">
    <w:name w:val="Margin Note"/>
    <w:basedOn w:val="BodyText"/>
    <w:rsid w:val="00C33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2F9"/>
    <w:rPr>
      <w:sz w:val="32"/>
    </w:rPr>
  </w:style>
  <w:style w:type="paragraph" w:customStyle="1" w:styleId="HeadingProcedure">
    <w:name w:val="Heading Procedure"/>
    <w:basedOn w:val="HeadingBase"/>
    <w:next w:val="Normal"/>
    <w:rsid w:val="00C332F9"/>
    <w:pPr>
      <w:tabs>
        <w:tab w:val="left" w:pos="0"/>
      </w:tabs>
      <w:spacing w:before="120" w:after="60"/>
    </w:pPr>
    <w:rPr>
      <w:i/>
      <w:color w:val="918585"/>
      <w:sz w:val="22"/>
    </w:rPr>
  </w:style>
  <w:style w:type="paragraph" w:customStyle="1" w:styleId="TableBodyText">
    <w:name w:val="Table Body Text"/>
    <w:basedOn w:val="BodyText"/>
    <w:rsid w:val="00C332F9"/>
    <w:pPr>
      <w:spacing w:before="60" w:after="60"/>
    </w:pPr>
  </w:style>
  <w:style w:type="paragraph" w:styleId="ListContinue">
    <w:name w:val="List Continue"/>
    <w:basedOn w:val="List"/>
    <w:rsid w:val="00C332F9"/>
    <w:pPr>
      <w:ind w:firstLine="0"/>
    </w:pPr>
  </w:style>
  <w:style w:type="paragraph" w:customStyle="1" w:styleId="ListNote">
    <w:name w:val="List Note"/>
    <w:basedOn w:val="List"/>
    <w:rsid w:val="00C332F9"/>
    <w:pPr>
      <w:pBdr>
        <w:top w:val="single" w:sz="6" w:space="2" w:color="918585"/>
        <w:bottom w:val="single" w:sz="6" w:space="2" w:color="918585"/>
      </w:pBdr>
      <w:tabs>
        <w:tab w:val="left" w:pos="1021"/>
      </w:tabs>
      <w:ind w:firstLine="0"/>
    </w:pPr>
  </w:style>
  <w:style w:type="paragraph" w:customStyle="1" w:styleId="Warning">
    <w:name w:val="Warning"/>
    <w:basedOn w:val="BodyText"/>
    <w:rsid w:val="00C332F9"/>
    <w:pPr>
      <w:shd w:val="clear" w:color="auto" w:fill="D9D9D9"/>
      <w:tabs>
        <w:tab w:val="left" w:pos="992"/>
      </w:tabs>
      <w:ind w:left="119" w:right="119"/>
    </w:pPr>
    <w:rPr>
      <w:sz w:val="20"/>
    </w:rPr>
  </w:style>
  <w:style w:type="paragraph" w:customStyle="1" w:styleId="MarginIcons">
    <w:name w:val="Margin Icons"/>
    <w:basedOn w:val="BodyText"/>
    <w:rsid w:val="00C33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2F9"/>
    <w:rPr>
      <w:rFonts w:ascii="Courier New" w:hAnsi="Courier New"/>
    </w:rPr>
  </w:style>
  <w:style w:type="paragraph" w:customStyle="1" w:styleId="NoteBullet">
    <w:name w:val="Note Bullet"/>
    <w:basedOn w:val="Note"/>
    <w:rsid w:val="00C332F9"/>
    <w:pPr>
      <w:tabs>
        <w:tab w:val="clear" w:pos="680"/>
      </w:tabs>
      <w:spacing w:before="60" w:after="60"/>
    </w:pPr>
  </w:style>
  <w:style w:type="paragraph" w:customStyle="1" w:styleId="SubHeading2">
    <w:name w:val="SubHeading2"/>
    <w:basedOn w:val="HeadingBase"/>
    <w:rsid w:val="00C332F9"/>
    <w:pPr>
      <w:spacing w:before="240" w:after="60"/>
    </w:pPr>
    <w:rPr>
      <w:sz w:val="20"/>
    </w:rPr>
  </w:style>
  <w:style w:type="paragraph" w:customStyle="1" w:styleId="SubHeading1">
    <w:name w:val="SubHeading1"/>
    <w:basedOn w:val="HeadingBase"/>
    <w:rsid w:val="00C332F9"/>
    <w:pPr>
      <w:spacing w:before="240" w:after="60"/>
    </w:pPr>
    <w:rPr>
      <w:color w:val="918585"/>
      <w:sz w:val="22"/>
    </w:rPr>
  </w:style>
  <w:style w:type="paragraph" w:customStyle="1" w:styleId="SideHeading">
    <w:name w:val="Side Heading"/>
    <w:basedOn w:val="HeadingBase"/>
    <w:rsid w:val="00C33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2F9"/>
    <w:pPr>
      <w:numPr>
        <w:numId w:val="12"/>
      </w:numPr>
    </w:pPr>
  </w:style>
  <w:style w:type="paragraph" w:styleId="PlainText">
    <w:name w:val="Plain Text"/>
    <w:basedOn w:val="Normal"/>
    <w:link w:val="PlainTextChar"/>
    <w:rsid w:val="00C332F9"/>
    <w:rPr>
      <w:sz w:val="20"/>
    </w:rPr>
  </w:style>
  <w:style w:type="character" w:customStyle="1" w:styleId="PlainTextChar">
    <w:name w:val="Plain Text Char"/>
    <w:basedOn w:val="DefaultParagraphFont"/>
    <w:link w:val="PlainText"/>
    <w:rsid w:val="00C332F9"/>
    <w:rPr>
      <w:rFonts w:ascii="Courier New" w:eastAsia="Times New Roman" w:hAnsi="Courier New" w:cs="Times New Roman"/>
      <w:sz w:val="20"/>
      <w:szCs w:val="20"/>
      <w:lang w:eastAsia="en-US"/>
    </w:rPr>
  </w:style>
  <w:style w:type="character" w:customStyle="1" w:styleId="MenuOption">
    <w:name w:val="Menu Option"/>
    <w:basedOn w:val="DefaultParagraphFont"/>
    <w:rsid w:val="00C332F9"/>
    <w:rPr>
      <w:b/>
      <w:smallCaps/>
    </w:rPr>
  </w:style>
  <w:style w:type="paragraph" w:customStyle="1" w:styleId="TableListNumber">
    <w:name w:val="Table List Number"/>
    <w:basedOn w:val="ListNumber"/>
    <w:rsid w:val="00C332F9"/>
    <w:pPr>
      <w:numPr>
        <w:numId w:val="0"/>
      </w:numPr>
    </w:pPr>
  </w:style>
  <w:style w:type="paragraph" w:styleId="TOC4">
    <w:name w:val="toc 4"/>
    <w:basedOn w:val="TOCBase"/>
    <w:next w:val="Normal"/>
    <w:semiHidden/>
    <w:rsid w:val="00C332F9"/>
    <w:pPr>
      <w:tabs>
        <w:tab w:val="right" w:leader="dot" w:pos="9071"/>
      </w:tabs>
      <w:ind w:left="1701"/>
    </w:pPr>
  </w:style>
  <w:style w:type="paragraph" w:customStyle="1" w:styleId="ListAlpha">
    <w:name w:val="List Alpha"/>
    <w:basedOn w:val="List"/>
    <w:rsid w:val="00C332F9"/>
    <w:pPr>
      <w:numPr>
        <w:numId w:val="9"/>
      </w:numPr>
    </w:pPr>
  </w:style>
  <w:style w:type="paragraph" w:customStyle="1" w:styleId="ListAlpha2">
    <w:name w:val="List Alpha 2"/>
    <w:basedOn w:val="List2"/>
    <w:rsid w:val="00C332F9"/>
    <w:pPr>
      <w:numPr>
        <w:numId w:val="8"/>
      </w:numPr>
    </w:pPr>
  </w:style>
  <w:style w:type="paragraph" w:styleId="List2">
    <w:name w:val="List 2"/>
    <w:basedOn w:val="BodyText"/>
    <w:rsid w:val="00C332F9"/>
    <w:pPr>
      <w:tabs>
        <w:tab w:val="left" w:pos="680"/>
      </w:tabs>
      <w:spacing w:before="60" w:after="60"/>
      <w:ind w:left="680" w:hanging="340"/>
    </w:pPr>
  </w:style>
  <w:style w:type="paragraph" w:styleId="List3">
    <w:name w:val="List 3"/>
    <w:basedOn w:val="BodyText"/>
    <w:rsid w:val="00C332F9"/>
    <w:pPr>
      <w:tabs>
        <w:tab w:val="left" w:pos="1021"/>
      </w:tabs>
      <w:spacing w:before="60" w:after="60"/>
      <w:ind w:left="1020" w:hanging="340"/>
    </w:pPr>
  </w:style>
  <w:style w:type="paragraph" w:styleId="List4">
    <w:name w:val="List 4"/>
    <w:basedOn w:val="BodyText"/>
    <w:rsid w:val="00C332F9"/>
    <w:pPr>
      <w:tabs>
        <w:tab w:val="left" w:pos="1361"/>
      </w:tabs>
      <w:spacing w:before="60" w:after="60"/>
      <w:ind w:left="1361" w:hanging="340"/>
    </w:pPr>
  </w:style>
  <w:style w:type="paragraph" w:styleId="List5">
    <w:name w:val="List 5"/>
    <w:basedOn w:val="BodyText"/>
    <w:rsid w:val="00C332F9"/>
    <w:pPr>
      <w:tabs>
        <w:tab w:val="left" w:pos="1701"/>
      </w:tabs>
      <w:spacing w:before="60" w:after="60"/>
      <w:ind w:left="1701" w:hanging="340"/>
    </w:pPr>
  </w:style>
  <w:style w:type="paragraph" w:styleId="ListBullet3">
    <w:name w:val="List Bullet 3"/>
    <w:basedOn w:val="List3"/>
    <w:rsid w:val="00C332F9"/>
    <w:pPr>
      <w:numPr>
        <w:numId w:val="15"/>
      </w:numPr>
      <w:tabs>
        <w:tab w:val="clear" w:pos="1021"/>
      </w:tabs>
      <w:ind w:left="1037" w:hanging="357"/>
    </w:pPr>
  </w:style>
  <w:style w:type="paragraph" w:styleId="ListBullet4">
    <w:name w:val="List Bullet 4"/>
    <w:basedOn w:val="List4"/>
    <w:rsid w:val="00C332F9"/>
    <w:pPr>
      <w:numPr>
        <w:numId w:val="3"/>
      </w:numPr>
    </w:pPr>
  </w:style>
  <w:style w:type="paragraph" w:styleId="ListBullet5">
    <w:name w:val="List Bullet 5"/>
    <w:basedOn w:val="List5"/>
    <w:rsid w:val="00C332F9"/>
    <w:pPr>
      <w:numPr>
        <w:numId w:val="4"/>
      </w:numPr>
    </w:pPr>
  </w:style>
  <w:style w:type="paragraph" w:styleId="ListContinue2">
    <w:name w:val="List Continue 2"/>
    <w:basedOn w:val="List2"/>
    <w:rsid w:val="00C332F9"/>
    <w:pPr>
      <w:ind w:firstLine="0"/>
    </w:pPr>
  </w:style>
  <w:style w:type="paragraph" w:styleId="ListContinue3">
    <w:name w:val="List Continue 3"/>
    <w:basedOn w:val="List3"/>
    <w:rsid w:val="00C332F9"/>
    <w:pPr>
      <w:ind w:left="1021" w:firstLine="0"/>
    </w:pPr>
  </w:style>
  <w:style w:type="paragraph" w:styleId="ListContinue4">
    <w:name w:val="List Continue 4"/>
    <w:basedOn w:val="List4"/>
    <w:rsid w:val="00C332F9"/>
    <w:pPr>
      <w:ind w:firstLine="0"/>
    </w:pPr>
  </w:style>
  <w:style w:type="paragraph" w:styleId="ListContinue5">
    <w:name w:val="List Continue 5"/>
    <w:basedOn w:val="List5"/>
    <w:rsid w:val="00C332F9"/>
    <w:pPr>
      <w:ind w:firstLine="0"/>
    </w:pPr>
  </w:style>
  <w:style w:type="paragraph" w:styleId="ListNumber3">
    <w:name w:val="List Number 3"/>
    <w:basedOn w:val="List3"/>
    <w:rsid w:val="00C332F9"/>
    <w:pPr>
      <w:numPr>
        <w:numId w:val="5"/>
      </w:numPr>
    </w:pPr>
  </w:style>
  <w:style w:type="paragraph" w:styleId="ListNumber4">
    <w:name w:val="List Number 4"/>
    <w:basedOn w:val="List4"/>
    <w:rsid w:val="00C332F9"/>
    <w:pPr>
      <w:numPr>
        <w:numId w:val="6"/>
      </w:numPr>
    </w:pPr>
  </w:style>
  <w:style w:type="paragraph" w:styleId="ListNumber5">
    <w:name w:val="List Number 5"/>
    <w:basedOn w:val="List5"/>
    <w:rsid w:val="00C332F9"/>
    <w:pPr>
      <w:numPr>
        <w:numId w:val="7"/>
      </w:numPr>
    </w:pPr>
  </w:style>
  <w:style w:type="paragraph" w:styleId="BlockText">
    <w:name w:val="Block Text"/>
    <w:basedOn w:val="Normal"/>
    <w:rsid w:val="00C332F9"/>
    <w:pPr>
      <w:spacing w:after="120"/>
      <w:ind w:left="1440" w:right="1440"/>
    </w:pPr>
  </w:style>
  <w:style w:type="character" w:customStyle="1" w:styleId="Subscript">
    <w:name w:val="Subscript"/>
    <w:basedOn w:val="DefaultParagraphFont"/>
    <w:rsid w:val="00C332F9"/>
    <w:rPr>
      <w:sz w:val="16"/>
      <w:vertAlign w:val="subscript"/>
    </w:rPr>
  </w:style>
  <w:style w:type="character" w:customStyle="1" w:styleId="Superscript">
    <w:name w:val="Superscript"/>
    <w:basedOn w:val="DefaultParagraphFont"/>
    <w:rsid w:val="00C332F9"/>
    <w:rPr>
      <w:sz w:val="16"/>
      <w:vertAlign w:val="superscript"/>
    </w:rPr>
  </w:style>
  <w:style w:type="character" w:customStyle="1" w:styleId="Symbols">
    <w:name w:val="Symbols"/>
    <w:basedOn w:val="DefaultParagraphFont"/>
    <w:rsid w:val="00C332F9"/>
    <w:rPr>
      <w:rFonts w:ascii="Symbol" w:hAnsi="Symbol"/>
    </w:rPr>
  </w:style>
  <w:style w:type="character" w:customStyle="1" w:styleId="MenuOptions">
    <w:name w:val="Menu Options"/>
    <w:basedOn w:val="DefaultParagraphFont"/>
    <w:rsid w:val="00C332F9"/>
    <w:rPr>
      <w:rFonts w:ascii="Arial Narrow" w:hAnsi="Arial Narrow"/>
      <w:smallCaps/>
    </w:rPr>
  </w:style>
  <w:style w:type="character" w:customStyle="1" w:styleId="Buttons">
    <w:name w:val="Buttons"/>
    <w:basedOn w:val="DefaultParagraphFont"/>
    <w:rsid w:val="00C332F9"/>
    <w:rPr>
      <w:b/>
    </w:rPr>
  </w:style>
  <w:style w:type="character" w:customStyle="1" w:styleId="Underlined">
    <w:name w:val="Underlined"/>
    <w:basedOn w:val="DefaultParagraphFont"/>
    <w:rsid w:val="00C332F9"/>
    <w:rPr>
      <w:u w:val="single"/>
    </w:rPr>
  </w:style>
  <w:style w:type="paragraph" w:customStyle="1" w:styleId="TableBodyTextRight">
    <w:name w:val="Table Body Text Right"/>
    <w:basedOn w:val="TableBodyText"/>
    <w:rsid w:val="00C332F9"/>
    <w:pPr>
      <w:widowControl w:val="0"/>
      <w:autoSpaceDE w:val="0"/>
      <w:autoSpaceDN w:val="0"/>
      <w:adjustRightInd w:val="0"/>
      <w:jc w:val="right"/>
    </w:pPr>
    <w:rPr>
      <w:rFonts w:cs="Arial"/>
      <w:szCs w:val="18"/>
    </w:rPr>
  </w:style>
  <w:style w:type="paragraph" w:customStyle="1" w:styleId="CopyrightText">
    <w:name w:val="Copyright Text"/>
    <w:basedOn w:val="BodyText"/>
    <w:rsid w:val="00C332F9"/>
    <w:rPr>
      <w:sz w:val="18"/>
    </w:rPr>
  </w:style>
  <w:style w:type="paragraph" w:customStyle="1" w:styleId="BodySmallRight">
    <w:name w:val="Body Small Right"/>
    <w:basedOn w:val="BodyTextRight"/>
    <w:rsid w:val="00C332F9"/>
    <w:rPr>
      <w:sz w:val="18"/>
      <w:szCs w:val="18"/>
    </w:rPr>
  </w:style>
  <w:style w:type="paragraph" w:customStyle="1" w:styleId="MarginEdition">
    <w:name w:val="Margin Edition"/>
    <w:basedOn w:val="MarginNote"/>
    <w:rsid w:val="00C332F9"/>
    <w:pPr>
      <w:spacing w:before="0" w:after="0"/>
    </w:pPr>
    <w:rPr>
      <w:rFonts w:ascii="Times New Roman" w:hAnsi="Times New Roman"/>
      <w:color w:val="999999"/>
    </w:rPr>
  </w:style>
  <w:style w:type="paragraph" w:customStyle="1" w:styleId="Spacer">
    <w:name w:val="Spacer"/>
    <w:basedOn w:val="Normal"/>
    <w:rsid w:val="00C332F9"/>
    <w:rPr>
      <w:sz w:val="2"/>
      <w:szCs w:val="2"/>
    </w:rPr>
  </w:style>
  <w:style w:type="character" w:customStyle="1" w:styleId="Small">
    <w:name w:val="Small"/>
    <w:basedOn w:val="DefaultParagraphFont"/>
    <w:rsid w:val="00C332F9"/>
    <w:rPr>
      <w:sz w:val="16"/>
    </w:rPr>
  </w:style>
  <w:style w:type="paragraph" w:customStyle="1" w:styleId="WideTable">
    <w:name w:val="Wide Table"/>
    <w:basedOn w:val="Normal"/>
    <w:rsid w:val="00C332F9"/>
    <w:pPr>
      <w:ind w:left="-1418"/>
    </w:pPr>
    <w:rPr>
      <w:sz w:val="2"/>
      <w:szCs w:val="2"/>
    </w:rPr>
  </w:style>
  <w:style w:type="character" w:styleId="PageNumber">
    <w:name w:val="page number"/>
    <w:basedOn w:val="DefaultParagraphFont"/>
    <w:rsid w:val="00C332F9"/>
  </w:style>
  <w:style w:type="paragraph" w:styleId="Quote">
    <w:name w:val="Quote"/>
    <w:basedOn w:val="Heading1"/>
    <w:link w:val="QuoteChar"/>
    <w:qFormat/>
    <w:rsid w:val="00C332F9"/>
    <w:rPr>
      <w:b w:val="0"/>
      <w:sz w:val="72"/>
      <w:szCs w:val="72"/>
      <w:lang w:val="en-NZ"/>
    </w:rPr>
  </w:style>
  <w:style w:type="character" w:customStyle="1" w:styleId="QuoteChar">
    <w:name w:val="Quote Char"/>
    <w:basedOn w:val="DefaultParagraphFont"/>
    <w:link w:val="Quote"/>
    <w:rsid w:val="00C33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2F9"/>
    <w:pPr>
      <w:pageBreakBefore/>
    </w:pPr>
  </w:style>
  <w:style w:type="paragraph" w:customStyle="1" w:styleId="Border">
    <w:name w:val="Border"/>
    <w:basedOn w:val="Normal"/>
    <w:qFormat/>
    <w:rsid w:val="00C33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2F9"/>
    <w:rPr>
      <w:b/>
      <w:bCs/>
      <w:i/>
      <w:iCs/>
      <w:color w:val="auto"/>
    </w:rPr>
  </w:style>
  <w:style w:type="paragraph" w:styleId="IntenseQuote">
    <w:name w:val="Intense Quote"/>
    <w:basedOn w:val="Normal"/>
    <w:next w:val="Normal"/>
    <w:link w:val="IntenseQuoteChar"/>
    <w:uiPriority w:val="30"/>
    <w:qFormat/>
    <w:rsid w:val="00C33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2F9"/>
    <w:rPr>
      <w:smallCaps/>
      <w:color w:val="auto"/>
      <w:u w:val="single"/>
    </w:rPr>
  </w:style>
  <w:style w:type="character" w:styleId="IntenseReference">
    <w:name w:val="Intense Reference"/>
    <w:basedOn w:val="DefaultParagraphFont"/>
    <w:uiPriority w:val="32"/>
    <w:qFormat/>
    <w:rsid w:val="00C332F9"/>
    <w:rPr>
      <w:b/>
      <w:bCs/>
      <w:smallCaps/>
      <w:color w:val="auto"/>
      <w:spacing w:val="5"/>
      <w:u w:val="single"/>
    </w:rPr>
  </w:style>
  <w:style w:type="paragraph" w:customStyle="1" w:styleId="2ColumnHeading">
    <w:name w:val="2Column Heading"/>
    <w:basedOn w:val="BodyText"/>
    <w:qFormat/>
    <w:rsid w:val="00C332F9"/>
    <w:pPr>
      <w:spacing w:after="60"/>
      <w:ind w:left="-2268"/>
    </w:pPr>
    <w:rPr>
      <w:b/>
    </w:rPr>
  </w:style>
  <w:style w:type="paragraph" w:customStyle="1" w:styleId="Heading1TOC">
    <w:name w:val="Heading1 TOC"/>
    <w:basedOn w:val="Normal"/>
    <w:qFormat/>
    <w:rsid w:val="00C332F9"/>
    <w:pPr>
      <w:spacing w:before="240" w:after="120"/>
    </w:pPr>
    <w:rPr>
      <w:rFonts w:ascii="Times New Roman" w:hAnsi="Times New Roman"/>
      <w:b/>
      <w:sz w:val="32"/>
    </w:rPr>
  </w:style>
  <w:style w:type="paragraph" w:customStyle="1" w:styleId="Heading2TOC">
    <w:name w:val="Heading2 TOC"/>
    <w:basedOn w:val="Normal"/>
    <w:qFormat/>
    <w:rsid w:val="00C332F9"/>
    <w:pPr>
      <w:spacing w:before="240" w:after="60"/>
    </w:pPr>
    <w:rPr>
      <w:rFonts w:ascii="Times New Roman" w:hAnsi="Times New Roman"/>
      <w:b/>
      <w:sz w:val="28"/>
    </w:rPr>
  </w:style>
  <w:style w:type="character" w:customStyle="1" w:styleId="Underline">
    <w:name w:val="Underline"/>
    <w:basedOn w:val="DefaultParagraphFont"/>
    <w:qFormat/>
    <w:rsid w:val="00C332F9"/>
    <w:rPr>
      <w:u w:val="single"/>
    </w:rPr>
  </w:style>
  <w:style w:type="paragraph" w:styleId="BalloonText">
    <w:name w:val="Balloon Text"/>
    <w:basedOn w:val="Normal"/>
    <w:link w:val="BalloonTextChar"/>
    <w:rsid w:val="00C332F9"/>
    <w:rPr>
      <w:rFonts w:ascii="Tahoma" w:hAnsi="Tahoma" w:cs="Tahoma"/>
      <w:sz w:val="16"/>
      <w:szCs w:val="16"/>
    </w:rPr>
  </w:style>
  <w:style w:type="character" w:customStyle="1" w:styleId="BalloonTextChar">
    <w:name w:val="Balloon Text Char"/>
    <w:basedOn w:val="DefaultParagraphFont"/>
    <w:link w:val="BalloonText"/>
    <w:rsid w:val="00C33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2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3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2F9"/>
    <w:rPr>
      <w:b/>
      <w:color w:val="660033"/>
      <w:spacing w:val="0"/>
    </w:rPr>
  </w:style>
  <w:style w:type="paragraph" w:customStyle="1" w:styleId="Nameditemlist">
    <w:name w:val="Named item list"/>
    <w:basedOn w:val="BodyText"/>
    <w:qFormat/>
    <w:rsid w:val="00C332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1253</Words>
  <Characters>8238</Characters>
  <Application>Microsoft Office Word</Application>
  <DocSecurity>0</DocSecurity>
  <Lines>260</Lines>
  <Paragraphs>156</Paragraphs>
  <ScaleCrop>false</ScaleCrop>
  <Company>Author-it Software Corporation Ltd.</Company>
  <LinksUpToDate>false</LinksUpToDate>
  <CharactersWithSpaces>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FDFLAB3004A Check and maintain readiness of wine testing equipment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2012-09-05T09:04:00Z</dcterms:created>
  <dcterms:modified xsi:type="dcterms:W3CDTF">2012-09-05T09:04:00Z</dcterms:modified>
</cp:coreProperties>
</file>