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90C" w:rsidP="00F8090C">
      <w:pPr>
        <w:pStyle w:val="Title"/>
      </w:pPr>
      <w:r>
        <w:fldChar w:fldCharType="begin"/>
      </w:r>
      <w:r>
        <w:instrText xml:space="preserve"> TITLE   \* MERGEFORMAT </w:instrText>
      </w:r>
      <w:r>
        <w:fldChar w:fldCharType="separate"/>
      </w:r>
      <w:r>
        <w:t>FDFLAB2001A Perform basic analytical tests</w:t>
      </w:r>
      <w:r>
        <w:fldChar w:fldCharType="end"/>
      </w:r>
    </w:p>
    <w:p w:rsidR="00F8090C" w:rsidP="00F8090C">
      <w:pPr>
        <w:pStyle w:val="Version"/>
        <w:sectPr w:rsidSect="00FE0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0D0E" w:rsidP="00FE0D0E">
      <w:pPr>
        <w:pStyle w:val="SuperHeading"/>
      </w:pPr>
      <w:r w:rsidRPr="00FE0D0E">
        <w:t>FDFLAB2001A Perform basic analytical tests</w:t>
      </w:r>
    </w:p>
    <w:p w:rsidR="00000000" w:rsidRPr="00FE0D0E" w:rsidP="00FE0D0E">
      <w:pPr>
        <w:pStyle w:val="Heading1"/>
      </w:pPr>
      <w:bookmarkStart w:id="1" w:name="O_447971"/>
      <w:bookmarkEnd w:id="1"/>
      <w:r w:rsidRPr="00FE0D0E">
        <w:t>Modification History</w:t>
      </w:r>
    </w:p>
    <w:p w:rsidR="00000000" w:rsidRPr="00FE0D0E" w:rsidP="00FE0D0E">
      <w:pPr>
        <w:pStyle w:val="BodyText"/>
      </w:pPr>
      <w:r w:rsidRPr="00FE0D0E">
        <w:t>This unit supersedes but is not equivalent to FDFLABBATA Perform basic analytical tests.</w:t>
      </w:r>
    </w:p>
    <w:p w:rsidR="00000000" w:rsidRPr="00FE0D0E" w:rsidP="00FE0D0E">
      <w:pPr>
        <w:pStyle w:val="BodyText"/>
      </w:pPr>
      <w:r w:rsidRPr="00FE0D0E">
        <w:t>April 2012: Minor typographical corrections.</w:t>
      </w:r>
    </w:p>
    <w:p w:rsidR="00000000" w:rsidRPr="00FE0D0E" w:rsidP="00FE0D0E">
      <w:pPr>
        <w:pStyle w:val="AllowPageBreak"/>
      </w:pPr>
    </w:p>
    <w:p w:rsidR="00000000" w:rsidRPr="00FE0D0E" w:rsidP="00FE0D0E">
      <w:pPr>
        <w:pStyle w:val="Heading1"/>
      </w:pPr>
      <w:bookmarkStart w:id="2" w:name="O_447967"/>
      <w:bookmarkEnd w:id="2"/>
      <w:r w:rsidRPr="00FE0D0E">
        <w:t>Unit Descriptor</w:t>
      </w:r>
    </w:p>
    <w:tbl>
      <w:tblPr>
        <w:tblW w:w="9462" w:type="dxa"/>
        <w:tblLayout w:type="fixed"/>
        <w:tblCellMar>
          <w:left w:w="62" w:type="dxa"/>
          <w:right w:w="62" w:type="dxa"/>
        </w:tblCellMar>
        <w:tblLook w:val="0000"/>
      </w:tblPr>
      <w:tblGrid>
        <w:gridCol w:w="2663"/>
        <w:gridCol w:w="6799"/>
      </w:tblGrid>
      <w:tr w:rsidTr="00FE0D0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Heading4"/>
            </w:pPr>
            <w:r w:rsidRPr="00FE0D0E">
              <w:t xml:space="preserve">Unit </w:t>
            </w:r>
            <w:r w:rsidRPr="00FE0D0E">
              <w:t>descriptor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This unit covers the skills and knowledge required to perform a range of analytical tests and measurements in a winery laboratory using standard methods. Work is usually done under routine supervision.</w:t>
            </w:r>
          </w:p>
        </w:tc>
      </w:tr>
    </w:tbl>
    <w:p w:rsidR="00F8090C" w:rsidP="00FE0D0E">
      <w:pPr>
        <w:pStyle w:val="BodyText"/>
      </w:pPr>
    </w:p>
    <w:p w:rsidR="00F8090C" w:rsidP="00FE0D0E">
      <w:pPr>
        <w:pStyle w:val="BodyText"/>
      </w:pPr>
    </w:p>
    <w:p w:rsidR="00000000" w:rsidRPr="00FE0D0E" w:rsidP="00FE0D0E">
      <w:pPr>
        <w:pStyle w:val="Heading1"/>
      </w:pPr>
      <w:bookmarkStart w:id="3" w:name="O_447979"/>
      <w:bookmarkEnd w:id="3"/>
      <w:r w:rsidRPr="00FE0D0E">
        <w:t>Application of the Unit</w:t>
      </w:r>
    </w:p>
    <w:tbl>
      <w:tblPr>
        <w:tblW w:w="9462" w:type="dxa"/>
        <w:tblLayout w:type="fixed"/>
        <w:tblCellMar>
          <w:left w:w="62" w:type="dxa"/>
          <w:right w:w="62" w:type="dxa"/>
        </w:tblCellMar>
        <w:tblLook w:val="0000"/>
      </w:tblPr>
      <w:tblGrid>
        <w:gridCol w:w="2663"/>
        <w:gridCol w:w="6799"/>
      </w:tblGrid>
      <w:tr w:rsidTr="00FE0D0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Heading4"/>
            </w:pPr>
            <w:r w:rsidRPr="00FE0D0E">
              <w:t>Application of the unit</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 xml:space="preserve">This unit has application in a wine operations laboratory environment. It typically targets the worker responsible for applying basic laboratory principles when performing basic tests. </w:t>
            </w:r>
          </w:p>
        </w:tc>
      </w:tr>
    </w:tbl>
    <w:p w:rsidR="00F8090C" w:rsidP="00FE0D0E">
      <w:pPr>
        <w:pStyle w:val="BodyText"/>
      </w:pPr>
    </w:p>
    <w:p w:rsidR="00F8090C" w:rsidP="00FE0D0E">
      <w:pPr>
        <w:pStyle w:val="BodyText"/>
      </w:pPr>
    </w:p>
    <w:p w:rsidR="00000000" w:rsidRPr="00FE0D0E" w:rsidP="00FE0D0E">
      <w:pPr>
        <w:pStyle w:val="Heading1"/>
      </w:pPr>
      <w:bookmarkStart w:id="4" w:name="O_447972"/>
      <w:bookmarkEnd w:id="4"/>
      <w:r w:rsidRPr="00FE0D0E">
        <w:t>Licensing/Regulatory Info</w:t>
      </w:r>
      <w:r w:rsidRPr="00FE0D0E">
        <w:t>rmation</w:t>
      </w:r>
    </w:p>
    <w:p w:rsidR="00000000" w:rsidRPr="00FE0D0E" w:rsidP="00FE0D0E">
      <w:pPr>
        <w:pStyle w:val="BodyText"/>
      </w:pPr>
      <w:r w:rsidRPr="00FE0D0E">
        <w:t>Not applicable.</w:t>
      </w:r>
    </w:p>
    <w:p w:rsidR="00000000" w:rsidRPr="00FE0D0E" w:rsidP="00FE0D0E">
      <w:pPr>
        <w:pStyle w:val="AllowPageBreak"/>
      </w:pPr>
    </w:p>
    <w:p w:rsidR="00000000" w:rsidRPr="00FE0D0E" w:rsidP="00FE0D0E">
      <w:pPr>
        <w:pStyle w:val="Heading1"/>
      </w:pPr>
      <w:bookmarkStart w:id="5" w:name="O_447970"/>
      <w:bookmarkEnd w:id="5"/>
      <w:r w:rsidRPr="00FE0D0E">
        <w:t>Pre-Requisites</w:t>
      </w:r>
    </w:p>
    <w:tbl>
      <w:tblPr>
        <w:tblW w:w="9462" w:type="dxa"/>
        <w:tblLayout w:type="fixed"/>
        <w:tblCellMar>
          <w:left w:w="62" w:type="dxa"/>
          <w:right w:w="62" w:type="dxa"/>
        </w:tblCellMar>
        <w:tblLook w:val="0000"/>
      </w:tblPr>
      <w:tblGrid>
        <w:gridCol w:w="2663"/>
        <w:gridCol w:w="1696"/>
        <w:gridCol w:w="5103"/>
      </w:tblGrid>
      <w:tr w:rsidTr="00FE0D0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Heading4"/>
            </w:pPr>
            <w:r w:rsidRPr="00FE0D0E">
              <w:t>Prerequisite units</w:t>
            </w:r>
          </w:p>
        </w:tc>
        <w:tc>
          <w:tcPr>
            <w:tcW w:w="67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p>
        </w:tc>
      </w:tr>
      <w:tr w:rsidTr="00FE0D0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FDFLAB2011A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Use basic laboratory equipment</w:t>
            </w:r>
          </w:p>
        </w:tc>
      </w:tr>
    </w:tbl>
    <w:p w:rsidR="00F8090C" w:rsidP="00FE0D0E">
      <w:pPr>
        <w:pStyle w:val="BodyText"/>
      </w:pPr>
    </w:p>
    <w:p w:rsidR="00F8090C" w:rsidP="00FE0D0E">
      <w:pPr>
        <w:pStyle w:val="BodyText"/>
      </w:pPr>
    </w:p>
    <w:p w:rsidR="00000000" w:rsidRPr="00FE0D0E" w:rsidP="00FE0D0E">
      <w:pPr>
        <w:pStyle w:val="Heading1"/>
      </w:pPr>
      <w:bookmarkStart w:id="6" w:name="O_447975"/>
      <w:bookmarkEnd w:id="6"/>
      <w:r w:rsidRPr="00FE0D0E">
        <w:t>Employability Skills Information</w:t>
      </w:r>
    </w:p>
    <w:tbl>
      <w:tblPr>
        <w:tblW w:w="9462" w:type="dxa"/>
        <w:tblLayout w:type="fixed"/>
        <w:tblCellMar>
          <w:left w:w="62" w:type="dxa"/>
          <w:right w:w="62" w:type="dxa"/>
        </w:tblCellMar>
        <w:tblLook w:val="0000"/>
      </w:tblPr>
      <w:tblGrid>
        <w:gridCol w:w="2663"/>
        <w:gridCol w:w="6799"/>
      </w:tblGrid>
      <w:tr w:rsidTr="00FE0D0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Heading4"/>
            </w:pPr>
            <w:r w:rsidRPr="00FE0D0E">
              <w:t>Employability skills</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 xml:space="preserve">This unit contains employability skills.  </w:t>
            </w:r>
          </w:p>
        </w:tc>
      </w:tr>
    </w:tbl>
    <w:p w:rsidR="00F8090C" w:rsidP="00FE0D0E">
      <w:pPr>
        <w:pStyle w:val="BodyText"/>
      </w:pPr>
    </w:p>
    <w:p w:rsidR="00F8090C" w:rsidP="00FE0D0E">
      <w:pPr>
        <w:pStyle w:val="BodyText"/>
      </w:pPr>
    </w:p>
    <w:p w:rsidR="00000000" w:rsidRPr="00FE0D0E" w:rsidP="00FE0D0E">
      <w:pPr>
        <w:pStyle w:val="Heading1"/>
      </w:pPr>
      <w:bookmarkStart w:id="7" w:name="O_447976"/>
      <w:bookmarkEnd w:id="7"/>
      <w:r w:rsidRPr="00FE0D0E">
        <w:t>Elements and Performance Criteria Pre-Content</w:t>
      </w:r>
    </w:p>
    <w:tbl>
      <w:tblPr>
        <w:tblW w:w="9462" w:type="dxa"/>
        <w:tblLayout w:type="fixed"/>
        <w:tblCellMar>
          <w:left w:w="62" w:type="dxa"/>
          <w:right w:w="62" w:type="dxa"/>
        </w:tblCellMar>
        <w:tblLook w:val="0000"/>
      </w:tblPr>
      <w:tblGrid>
        <w:gridCol w:w="2700"/>
        <w:gridCol w:w="6762"/>
      </w:tblGrid>
      <w:tr w:rsidTr="00FE0D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0D0E">
            <w:pPr>
              <w:pStyle w:val="BodyText"/>
              <w:rPr>
                <w:lang w:val="en-NZ"/>
              </w:rPr>
            </w:pPr>
            <w:r w:rsidRPr="00FE0D0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E0D0E" w:rsidP="00FE0D0E">
            <w:pPr>
              <w:pStyle w:val="BodyText"/>
            </w:pPr>
            <w:r w:rsidRPr="00FE0D0E">
              <w:t>Performance criteria describe the performance needed to demonstrate achievement of the element. Where bold italicised text is used, furt</w:t>
            </w:r>
            <w:r w:rsidRPr="00FE0D0E">
              <w:t>her information is detailed in the required skills and knowledge section and the range statement. Assessment of performance is to be consistent with the evidence guide.</w:t>
            </w:r>
          </w:p>
        </w:tc>
      </w:tr>
    </w:tbl>
    <w:p w:rsidR="00000000" w:rsidRPr="00FE0D0E" w:rsidP="00FE0D0E">
      <w:pPr>
        <w:pStyle w:val="BodyText"/>
      </w:pPr>
    </w:p>
    <w:p w:rsidR="00000000" w:rsidRPr="00FE0D0E" w:rsidP="00FE0D0E">
      <w:pPr>
        <w:pStyle w:val="AllowPageBreak"/>
      </w:pPr>
    </w:p>
    <w:p w:rsidR="00000000" w:rsidRPr="00FE0D0E" w:rsidP="00FE0D0E">
      <w:pPr>
        <w:pStyle w:val="Heading1"/>
      </w:pPr>
      <w:bookmarkStart w:id="8" w:name="O_447977"/>
      <w:bookmarkEnd w:id="8"/>
      <w:r w:rsidRPr="00FE0D0E">
        <w:t>Elements and Performance Criteria</w:t>
      </w:r>
    </w:p>
    <w:tbl>
      <w:tblPr>
        <w:tblW w:w="9462" w:type="dxa"/>
        <w:tblLayout w:type="fixed"/>
        <w:tblCellMar>
          <w:left w:w="62" w:type="dxa"/>
          <w:right w:w="62" w:type="dxa"/>
        </w:tblCellMar>
        <w:tblLook w:val="0000"/>
      </w:tblPr>
      <w:tblGrid>
        <w:gridCol w:w="2700"/>
        <w:gridCol w:w="6762"/>
      </w:tblGrid>
      <w:tr w:rsidTr="00FE0D0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E0D0E">
            <w:pPr>
              <w:pStyle w:val="TableHeading"/>
            </w:pPr>
            <w:r w:rsidRPr="00FE0D0E">
              <w:t>ELEMENT</w:t>
            </w:r>
          </w:p>
        </w:tc>
        <w:tc>
          <w:tcPr>
            <w:tcW w:w="6762" w:type="dxa"/>
            <w:tcBorders>
              <w:top w:val="nil"/>
              <w:left w:val="nil"/>
              <w:bottom w:val="nil"/>
              <w:right w:val="nil"/>
            </w:tcBorders>
            <w:tcMar>
              <w:top w:w="0" w:type="dxa"/>
              <w:left w:w="62" w:type="dxa"/>
              <w:bottom w:w="0" w:type="dxa"/>
              <w:right w:w="62" w:type="dxa"/>
            </w:tcMar>
          </w:tcPr>
          <w:p w:rsidR="00000000" w:rsidP="00FE0D0E">
            <w:pPr>
              <w:pStyle w:val="TableHeading"/>
            </w:pPr>
            <w:r w:rsidRPr="00FE0D0E">
              <w:t>PERFORMANCE CRITERIA</w:t>
            </w:r>
          </w:p>
        </w:tc>
      </w:tr>
      <w:tr w:rsidTr="00FE0D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0D0E">
            <w:pPr>
              <w:pStyle w:val="List"/>
              <w:rPr>
                <w:lang w:val="en-NZ"/>
              </w:rPr>
            </w:pPr>
            <w:r w:rsidRPr="00FE0D0E">
              <w:t>1.</w:t>
            </w:r>
            <w:r w:rsidRPr="00FE0D0E">
              <w:tab/>
            </w:r>
            <w:r w:rsidRPr="00FE0D0E">
              <w:t>Prepare for testing</w:t>
            </w:r>
          </w:p>
        </w:tc>
        <w:tc>
          <w:tcPr>
            <w:tcW w:w="6762" w:type="dxa"/>
            <w:tcBorders>
              <w:top w:val="nil"/>
              <w:left w:val="nil"/>
              <w:bottom w:val="nil"/>
              <w:right w:val="nil"/>
            </w:tcBorders>
            <w:tcMar>
              <w:top w:w="0" w:type="dxa"/>
              <w:left w:w="62" w:type="dxa"/>
              <w:bottom w:w="0" w:type="dxa"/>
              <w:right w:w="62" w:type="dxa"/>
            </w:tcMar>
          </w:tcPr>
          <w:p w:rsidR="00000000" w:rsidRPr="00FE0D0E" w:rsidP="00FE0D0E">
            <w:pPr>
              <w:pStyle w:val="List"/>
            </w:pPr>
            <w:r w:rsidRPr="00FE0D0E">
              <w:t>1.1</w:t>
            </w:r>
            <w:r w:rsidRPr="00FE0D0E">
              <w:tab/>
              <w:t>Samples are registered and prepared for testing</w:t>
            </w:r>
          </w:p>
          <w:p w:rsidR="00000000" w:rsidRPr="00FE0D0E" w:rsidP="00FE0D0E">
            <w:pPr>
              <w:pStyle w:val="List"/>
            </w:pPr>
            <w:r w:rsidRPr="00FE0D0E">
              <w:t>1.2</w:t>
            </w:r>
            <w:r w:rsidRPr="00FE0D0E">
              <w:tab/>
              <w:t>Materials are prepared to meet requirements</w:t>
            </w:r>
          </w:p>
          <w:p w:rsidR="00000000" w:rsidRPr="00FE0D0E" w:rsidP="00FE0D0E">
            <w:pPr>
              <w:pStyle w:val="List"/>
            </w:pPr>
            <w:r w:rsidRPr="00FE0D0E">
              <w:t>1.3</w:t>
            </w:r>
            <w:r w:rsidRPr="00FE0D0E">
              <w:tab/>
              <w:t>Services are confirmed as available and ready for use</w:t>
            </w:r>
          </w:p>
          <w:p w:rsidR="00000000" w:rsidRPr="00FE0D0E" w:rsidP="00FE0D0E">
            <w:pPr>
              <w:pStyle w:val="List"/>
            </w:pPr>
            <w:r w:rsidRPr="00FE0D0E">
              <w:t>1.4</w:t>
            </w:r>
            <w:r w:rsidRPr="00FE0D0E">
              <w:tab/>
              <w:t>Equipment is selected, prepared and checked to confirm readiness for use</w:t>
            </w:r>
          </w:p>
          <w:p w:rsidR="00000000" w:rsidP="00FE0D0E">
            <w:pPr>
              <w:pStyle w:val="List"/>
              <w:rPr>
                <w:lang w:val="en-NZ"/>
              </w:rPr>
            </w:pPr>
            <w:r w:rsidRPr="00FE0D0E">
              <w:t>1</w:t>
            </w:r>
            <w:r w:rsidRPr="00FE0D0E">
              <w:t>.5</w:t>
            </w:r>
            <w:r w:rsidRPr="00FE0D0E">
              <w:tab/>
              <w:t>Defects in samples, test materials and equipment are identified, rectified and/or reported</w:t>
            </w:r>
          </w:p>
        </w:tc>
      </w:tr>
      <w:tr w:rsidTr="00FE0D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0D0E">
            <w:pPr>
              <w:pStyle w:val="List"/>
              <w:rPr>
                <w:lang w:val="en-NZ"/>
              </w:rPr>
            </w:pPr>
            <w:r w:rsidRPr="00FE0D0E">
              <w:t>2.</w:t>
            </w:r>
            <w:r w:rsidRPr="00FE0D0E">
              <w:tab/>
              <w:t>Perform testing</w:t>
            </w:r>
          </w:p>
        </w:tc>
        <w:tc>
          <w:tcPr>
            <w:tcW w:w="6762" w:type="dxa"/>
            <w:tcBorders>
              <w:top w:val="nil"/>
              <w:left w:val="nil"/>
              <w:bottom w:val="nil"/>
              <w:right w:val="nil"/>
            </w:tcBorders>
            <w:tcMar>
              <w:top w:w="0" w:type="dxa"/>
              <w:left w:w="62" w:type="dxa"/>
              <w:bottom w:w="0" w:type="dxa"/>
              <w:right w:w="62" w:type="dxa"/>
            </w:tcMar>
          </w:tcPr>
          <w:p w:rsidR="00000000" w:rsidRPr="00FE0D0E" w:rsidP="00FE0D0E">
            <w:pPr>
              <w:pStyle w:val="List"/>
            </w:pPr>
            <w:r w:rsidRPr="00FE0D0E">
              <w:t>2.1</w:t>
            </w:r>
            <w:r w:rsidRPr="00FE0D0E">
              <w:tab/>
              <w:t>Test method is carried out according to workplace procedures</w:t>
            </w:r>
          </w:p>
          <w:p w:rsidR="00000000" w:rsidRPr="00FE0D0E" w:rsidP="00FE0D0E">
            <w:pPr>
              <w:pStyle w:val="List"/>
            </w:pPr>
            <w:r w:rsidRPr="00FE0D0E">
              <w:t>2.2</w:t>
            </w:r>
            <w:r w:rsidRPr="00FE0D0E">
              <w:tab/>
              <w:t>Equipment and materials are used according to workplace procedures</w:t>
            </w:r>
          </w:p>
          <w:p w:rsidR="00000000" w:rsidRPr="00FE0D0E" w:rsidP="00FE0D0E">
            <w:pPr>
              <w:pStyle w:val="List"/>
            </w:pPr>
            <w:r w:rsidRPr="00FE0D0E">
              <w:t>2.3</w:t>
            </w:r>
            <w:r w:rsidRPr="00FE0D0E">
              <w:tab/>
              <w:t>Re</w:t>
            </w:r>
            <w:r w:rsidRPr="00FE0D0E">
              <w:t>sults are read and interpreted</w:t>
            </w:r>
          </w:p>
          <w:p w:rsidR="00000000" w:rsidP="00FE0D0E">
            <w:pPr>
              <w:pStyle w:val="List"/>
              <w:rPr>
                <w:lang w:val="en-NZ"/>
              </w:rPr>
            </w:pPr>
            <w:r w:rsidRPr="00FE0D0E">
              <w:t>2.4</w:t>
            </w:r>
            <w:r w:rsidRPr="00FE0D0E">
              <w:tab/>
              <w:t>Out-of-standard results are identified and appropriate action taken</w:t>
            </w:r>
          </w:p>
        </w:tc>
      </w:tr>
      <w:tr w:rsidTr="00FE0D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0D0E">
            <w:pPr>
              <w:pStyle w:val="List"/>
              <w:rPr>
                <w:lang w:val="en-NZ"/>
              </w:rPr>
            </w:pPr>
            <w:r w:rsidRPr="00FE0D0E">
              <w:t>3.</w:t>
            </w:r>
            <w:r w:rsidRPr="00FE0D0E">
              <w:tab/>
              <w:t>Complete testing</w:t>
            </w:r>
          </w:p>
        </w:tc>
        <w:tc>
          <w:tcPr>
            <w:tcW w:w="6762" w:type="dxa"/>
            <w:tcBorders>
              <w:top w:val="nil"/>
              <w:left w:val="nil"/>
              <w:bottom w:val="nil"/>
              <w:right w:val="nil"/>
            </w:tcBorders>
            <w:tcMar>
              <w:top w:w="0" w:type="dxa"/>
              <w:left w:w="62" w:type="dxa"/>
              <w:bottom w:w="0" w:type="dxa"/>
              <w:right w:w="62" w:type="dxa"/>
            </w:tcMar>
          </w:tcPr>
          <w:p w:rsidR="00000000" w:rsidRPr="00FE0D0E" w:rsidP="00FE0D0E">
            <w:pPr>
              <w:pStyle w:val="List"/>
            </w:pPr>
            <w:r w:rsidRPr="00FE0D0E">
              <w:t>3.1</w:t>
            </w:r>
            <w:r w:rsidRPr="00FE0D0E">
              <w:tab/>
              <w:t>Waste generated by the testing is monitored and cleared according to workplace procedures</w:t>
            </w:r>
          </w:p>
          <w:p w:rsidR="00000000" w:rsidRPr="00FE0D0E" w:rsidP="00FE0D0E">
            <w:pPr>
              <w:pStyle w:val="List"/>
            </w:pPr>
            <w:r w:rsidRPr="00FE0D0E">
              <w:t>3.2</w:t>
            </w:r>
            <w:r w:rsidRPr="00FE0D0E">
              <w:tab/>
              <w:t>Equipment is prepared for cleaning</w:t>
            </w:r>
          </w:p>
          <w:p w:rsidR="00000000" w:rsidP="00FE0D0E">
            <w:pPr>
              <w:pStyle w:val="List"/>
              <w:rPr>
                <w:lang w:val="en-NZ"/>
              </w:rPr>
            </w:pPr>
            <w:r w:rsidRPr="00FE0D0E">
              <w:t>3.3</w:t>
            </w:r>
            <w:r w:rsidRPr="00FE0D0E">
              <w:tab/>
              <w:t xml:space="preserve">Work is conducted in accordance with workplace environmental guidelines </w:t>
            </w:r>
          </w:p>
        </w:tc>
      </w:tr>
      <w:tr w:rsidTr="00FE0D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0D0E">
            <w:pPr>
              <w:pStyle w:val="List"/>
              <w:rPr>
                <w:lang w:val="en-NZ"/>
              </w:rPr>
            </w:pPr>
            <w:r w:rsidRPr="00FE0D0E">
              <w:t>4.</w:t>
            </w:r>
            <w:r w:rsidRPr="00FE0D0E">
              <w:tab/>
              <w:t>Record information</w:t>
            </w:r>
          </w:p>
        </w:tc>
        <w:tc>
          <w:tcPr>
            <w:tcW w:w="6762" w:type="dxa"/>
            <w:tcBorders>
              <w:top w:val="nil"/>
              <w:left w:val="nil"/>
              <w:bottom w:val="nil"/>
              <w:right w:val="nil"/>
            </w:tcBorders>
            <w:tcMar>
              <w:top w:w="0" w:type="dxa"/>
              <w:left w:w="62" w:type="dxa"/>
              <w:bottom w:w="0" w:type="dxa"/>
              <w:right w:w="62" w:type="dxa"/>
            </w:tcMar>
          </w:tcPr>
          <w:p w:rsidR="00000000" w:rsidRPr="00FE0D0E" w:rsidP="00FE0D0E">
            <w:pPr>
              <w:pStyle w:val="List"/>
            </w:pPr>
            <w:r w:rsidRPr="00FE0D0E">
              <w:t>4.1</w:t>
            </w:r>
            <w:r w:rsidRPr="00FE0D0E">
              <w:tab/>
              <w:t>Workplace information is recorded in the appropriate format</w:t>
            </w:r>
          </w:p>
        </w:tc>
      </w:tr>
    </w:tbl>
    <w:p w:rsidR="00000000" w:rsidRPr="00FE0D0E" w:rsidP="00FE0D0E">
      <w:pPr>
        <w:pStyle w:val="BodyText"/>
      </w:pPr>
    </w:p>
    <w:p w:rsidR="00000000" w:rsidRPr="00FE0D0E" w:rsidP="00FE0D0E">
      <w:pPr>
        <w:pStyle w:val="AllowPageBreak"/>
      </w:pPr>
    </w:p>
    <w:p w:rsidR="00000000" w:rsidRPr="00FE0D0E" w:rsidP="00FE0D0E">
      <w:pPr>
        <w:pStyle w:val="Heading1"/>
      </w:pPr>
      <w:bookmarkStart w:id="9" w:name="O_447968"/>
      <w:bookmarkEnd w:id="9"/>
      <w:r w:rsidRPr="00FE0D0E">
        <w:t>Required Skills and Knowledge</w:t>
      </w:r>
    </w:p>
    <w:tbl>
      <w:tblPr>
        <w:tblW w:w="9462" w:type="dxa"/>
        <w:tblLayout w:type="fixed"/>
        <w:tblCellMar>
          <w:left w:w="62" w:type="dxa"/>
          <w:right w:w="62" w:type="dxa"/>
        </w:tblCellMar>
        <w:tblLook w:val="0000"/>
      </w:tblPr>
      <w:tblGrid>
        <w:gridCol w:w="9462"/>
      </w:tblGrid>
      <w:tr w:rsidTr="00FE0D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E0D0E">
            <w:pPr>
              <w:pStyle w:val="BodyText"/>
              <w:rPr>
                <w:lang w:val="en-NZ"/>
              </w:rPr>
            </w:pPr>
            <w:r w:rsidRPr="00FE0D0E">
              <w:t>This section descr</w:t>
            </w:r>
            <w:r w:rsidRPr="00FE0D0E">
              <w:t>ibes the skills and knowledge required for this unit.</w:t>
            </w:r>
          </w:p>
        </w:tc>
      </w:tr>
      <w:tr w:rsidTr="00FE0D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E0D0E">
            <w:pPr>
              <w:pStyle w:val="TableHeading"/>
            </w:pPr>
            <w:r w:rsidRPr="00FE0D0E">
              <w:t>Required skills include:</w:t>
            </w:r>
          </w:p>
        </w:tc>
      </w:tr>
      <w:tr w:rsidTr="00FE0D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E0D0E" w:rsidP="00FE0D0E">
            <w:pPr>
              <w:pStyle w:val="BodyText"/>
            </w:pPr>
            <w:r w:rsidRPr="00FE0D0E">
              <w:t>Note: The following required skills should be applied as appropriate to the equipment and processes that are used in the particular winery or workplace.</w:t>
            </w:r>
          </w:p>
          <w:p w:rsidR="00000000" w:rsidRPr="00FE0D0E" w:rsidP="00FE0D0E">
            <w:pPr>
              <w:pStyle w:val="BodyText"/>
            </w:pPr>
            <w:r w:rsidRPr="00FE0D0E">
              <w:rPr>
                <w:rStyle w:val="SpecialBold"/>
              </w:rPr>
              <w:t>Ability to:</w:t>
            </w:r>
          </w:p>
          <w:p w:rsidR="00000000" w:rsidRPr="00FE0D0E" w:rsidP="00FE0D0E">
            <w:pPr>
              <w:pStyle w:val="ListBullet"/>
            </w:pPr>
            <w:r w:rsidRPr="00FE0D0E">
              <w:t>access workplace information to identify testing requirements</w:t>
            </w:r>
          </w:p>
          <w:p w:rsidR="00000000" w:rsidRPr="00FE0D0E" w:rsidP="00FE0D0E">
            <w:pPr>
              <w:pStyle w:val="ListBullet"/>
            </w:pPr>
            <w:r w:rsidRPr="00FE0D0E">
              <w:t>select, fit and use appropriate personal protective clothing and/or equipment</w:t>
            </w:r>
          </w:p>
          <w:p w:rsidR="00000000" w:rsidRPr="00FE0D0E" w:rsidP="00FE0D0E">
            <w:pPr>
              <w:pStyle w:val="ListBullet"/>
            </w:pPr>
            <w:r w:rsidRPr="00FE0D0E">
              <w:t>liaise with other work areas. This may include other laboratory personnel, cellar, winemaker and production personne</w:t>
            </w:r>
            <w:r w:rsidRPr="00FE0D0E">
              <w:t>l</w:t>
            </w:r>
          </w:p>
          <w:p w:rsidR="00000000" w:rsidRPr="00FE0D0E" w:rsidP="00FE0D0E">
            <w:pPr>
              <w:pStyle w:val="ListBullet"/>
            </w:pPr>
            <w:r w:rsidRPr="00FE0D0E">
              <w:t>confirm supply of necessary materials, equipment and services</w:t>
            </w:r>
          </w:p>
          <w:p w:rsidR="00000000" w:rsidRPr="00FE0D0E" w:rsidP="00FE0D0E">
            <w:pPr>
              <w:pStyle w:val="ListBullet"/>
            </w:pPr>
            <w:r w:rsidRPr="00FE0D0E">
              <w:t>prepare samples for testing</w:t>
            </w:r>
          </w:p>
          <w:p w:rsidR="00000000" w:rsidRPr="00FE0D0E" w:rsidP="00FE0D0E">
            <w:pPr>
              <w:pStyle w:val="ListBullet"/>
            </w:pPr>
            <w:r w:rsidRPr="00FE0D0E">
              <w:t>prepare materials as required</w:t>
            </w:r>
          </w:p>
          <w:p w:rsidR="00000000" w:rsidRPr="00FE0D0E" w:rsidP="00FE0D0E">
            <w:pPr>
              <w:pStyle w:val="ListBullet"/>
            </w:pPr>
            <w:r w:rsidRPr="00FE0D0E">
              <w:t>confirm equipment status and condition. This may include:</w:t>
            </w:r>
          </w:p>
          <w:p w:rsidR="00000000" w:rsidRPr="00FE0D0E" w:rsidP="00FE0D0E">
            <w:pPr>
              <w:pStyle w:val="ListBullet2"/>
            </w:pPr>
            <w:r w:rsidRPr="00FE0D0E">
              <w:t>confirmation that test equipment is operating accurately</w:t>
            </w:r>
          </w:p>
          <w:p w:rsidR="00000000" w:rsidRPr="00FE0D0E" w:rsidP="00FE0D0E">
            <w:pPr>
              <w:pStyle w:val="ListBullet2"/>
            </w:pPr>
            <w:r w:rsidRPr="00FE0D0E">
              <w:t>recognising and rejecting contaminated or faulty glassware and/or equipment</w:t>
            </w:r>
          </w:p>
          <w:p w:rsidR="00000000" w:rsidRPr="00FE0D0E" w:rsidP="00FE0D0E">
            <w:pPr>
              <w:pStyle w:val="ListBullet2"/>
            </w:pPr>
            <w:r w:rsidRPr="00FE0D0E">
              <w:t>safety checks</w:t>
            </w:r>
          </w:p>
          <w:p w:rsidR="00000000" w:rsidRPr="00FE0D0E" w:rsidP="00FE0D0E">
            <w:pPr>
              <w:pStyle w:val="ListBullet2"/>
            </w:pPr>
            <w:r w:rsidRPr="00FE0D0E">
              <w:t>replacing consumables</w:t>
            </w:r>
          </w:p>
          <w:p w:rsidR="00000000" w:rsidRPr="00FE0D0E" w:rsidP="00FE0D0E">
            <w:pPr>
              <w:pStyle w:val="ListBullet2"/>
            </w:pPr>
            <w:r w:rsidRPr="00FE0D0E">
              <w:t>instrument setting and calibration</w:t>
            </w:r>
          </w:p>
          <w:p w:rsidR="00000000" w:rsidRPr="00FE0D0E" w:rsidP="00FE0D0E">
            <w:pPr>
              <w:pStyle w:val="ListBullet"/>
            </w:pPr>
            <w:r w:rsidRPr="00FE0D0E">
              <w:t>monitor the process and test equipment to identify out-of-standard results or non-compliance</w:t>
            </w:r>
          </w:p>
          <w:p w:rsidR="00000000" w:rsidRPr="00FE0D0E" w:rsidP="00FE0D0E">
            <w:pPr>
              <w:pStyle w:val="ListBullet"/>
            </w:pPr>
            <w:r w:rsidRPr="00FE0D0E">
              <w:t>report and/or r</w:t>
            </w:r>
            <w:r w:rsidRPr="00FE0D0E">
              <w:t>ecord corrective action according to workplace procedures</w:t>
            </w:r>
          </w:p>
          <w:p w:rsidR="00000000" w:rsidRPr="00FE0D0E" w:rsidP="00FE0D0E">
            <w:pPr>
              <w:pStyle w:val="ListBullet"/>
            </w:pPr>
            <w:r w:rsidRPr="00FE0D0E">
              <w:t>follow procedures to repeat or validate results</w:t>
            </w:r>
          </w:p>
          <w:p w:rsidR="00000000" w:rsidRPr="00FE0D0E" w:rsidP="00FE0D0E">
            <w:pPr>
              <w:pStyle w:val="ListBullet"/>
            </w:pPr>
            <w:r w:rsidRPr="00FE0D0E">
              <w:t>sort, collect, treat, recycle or dispose of waste</w:t>
            </w:r>
          </w:p>
          <w:p w:rsidR="00000000" w:rsidRPr="00FE0D0E" w:rsidP="00FE0D0E">
            <w:pPr>
              <w:pStyle w:val="ListBullet"/>
            </w:pPr>
            <w:r w:rsidRPr="00FE0D0E">
              <w:t>shut down equipment in response to an emergency situation</w:t>
            </w:r>
          </w:p>
          <w:p w:rsidR="00000000" w:rsidRPr="00FE0D0E" w:rsidP="00FE0D0E">
            <w:pPr>
              <w:pStyle w:val="ListBullet"/>
            </w:pPr>
            <w:r w:rsidRPr="00FE0D0E">
              <w:t>shut down equipment in response to routine</w:t>
            </w:r>
            <w:r w:rsidRPr="00FE0D0E">
              <w:t xml:space="preserve"> shutdown requirements</w:t>
            </w:r>
          </w:p>
          <w:p w:rsidR="00000000" w:rsidRPr="00FE0D0E" w:rsidP="00FE0D0E">
            <w:pPr>
              <w:pStyle w:val="ListBullet"/>
            </w:pPr>
            <w:r w:rsidRPr="00FE0D0E">
              <w:t>maintain work area to meet housekeeping standards</w:t>
            </w:r>
          </w:p>
          <w:p w:rsidR="00000000" w:rsidRPr="00FE0D0E" w:rsidP="00FE0D0E">
            <w:pPr>
              <w:pStyle w:val="ListBullet"/>
            </w:pPr>
            <w:r w:rsidRPr="00FE0D0E">
              <w:t>prepare equipment for cleaning. This may include dismantling equipment or rinsing in preparation for sanitation</w:t>
            </w:r>
          </w:p>
          <w:p w:rsidR="00000000" w:rsidRPr="00FE0D0E" w:rsidP="00FE0D0E">
            <w:pPr>
              <w:pStyle w:val="ListBullet"/>
            </w:pPr>
            <w:r w:rsidRPr="00FE0D0E">
              <w:t>identify, rectify or report environmental non-compliance</w:t>
            </w:r>
          </w:p>
          <w:p w:rsidR="00000000" w:rsidRPr="00FE0D0E" w:rsidP="00FE0D0E">
            <w:pPr>
              <w:pStyle w:val="ListBullet"/>
            </w:pPr>
            <w:r w:rsidRPr="00FE0D0E">
              <w:t>use oral communication skills/language to fulfil the job role as specified by the organisation, including questioning, active listening, asking for clarification and seeking advice from supervisor</w:t>
            </w:r>
          </w:p>
          <w:p w:rsidR="00000000" w:rsidP="00FE0D0E">
            <w:pPr>
              <w:pStyle w:val="ListBullet"/>
              <w:rPr>
                <w:lang w:val="en-NZ"/>
              </w:rPr>
            </w:pPr>
            <w:r w:rsidRPr="00FE0D0E">
              <w:t>work cooperatively within a culturally diverse workforce.</w:t>
            </w:r>
          </w:p>
        </w:tc>
      </w:tr>
      <w:tr w:rsidTr="00FE0D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E0D0E">
            <w:pPr>
              <w:pStyle w:val="TableHeading"/>
            </w:pPr>
            <w:r w:rsidRPr="00FE0D0E">
              <w:t>Required knowledge includes:</w:t>
            </w:r>
          </w:p>
        </w:tc>
      </w:tr>
      <w:tr w:rsidTr="00FE0D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E0D0E" w:rsidP="00FE0D0E">
            <w:pPr>
              <w:pStyle w:val="BodyText"/>
            </w:pPr>
            <w:r w:rsidRPr="00FE0D0E">
              <w:t>Note: The following required knowledge should be applied as appropriate to the equipment and processes that are used in the particular winery or workplace.</w:t>
            </w:r>
          </w:p>
          <w:p w:rsidR="00000000" w:rsidRPr="00FE0D0E" w:rsidP="00FE0D0E">
            <w:pPr>
              <w:pStyle w:val="BodyText"/>
            </w:pPr>
            <w:r w:rsidRPr="00FE0D0E">
              <w:rPr>
                <w:rStyle w:val="SpecialBold"/>
              </w:rPr>
              <w:t>Knowledge of:</w:t>
            </w:r>
          </w:p>
          <w:p w:rsidR="00000000" w:rsidRPr="00FE0D0E" w:rsidP="00FE0D0E">
            <w:pPr>
              <w:pStyle w:val="ListBullet"/>
            </w:pPr>
            <w:r w:rsidRPr="00FE0D0E">
              <w:t>principles of the test method</w:t>
            </w:r>
          </w:p>
          <w:p w:rsidR="00000000" w:rsidRPr="00FE0D0E" w:rsidP="00FE0D0E">
            <w:pPr>
              <w:pStyle w:val="ListBullet"/>
            </w:pPr>
            <w:r w:rsidRPr="00FE0D0E">
              <w:t>purpose of the test</w:t>
            </w:r>
          </w:p>
          <w:p w:rsidR="00000000" w:rsidRPr="00FE0D0E" w:rsidP="00FE0D0E">
            <w:pPr>
              <w:pStyle w:val="ListBullet"/>
            </w:pPr>
            <w:r w:rsidRPr="00FE0D0E">
              <w:t>relev</w:t>
            </w:r>
            <w:r w:rsidRPr="00FE0D0E">
              <w:t>ant standards and specifications and basic legislative requirements (e.g. quality, health, safety, labelling and equipment) and their implications</w:t>
            </w:r>
          </w:p>
          <w:p w:rsidR="00000000" w:rsidRPr="00FE0D0E" w:rsidP="00FE0D0E">
            <w:pPr>
              <w:pStyle w:val="ListBullet"/>
            </w:pPr>
            <w:r w:rsidRPr="00FE0D0E">
              <w:t>procedures and operating parameters</w:t>
            </w:r>
          </w:p>
          <w:p w:rsidR="00000000" w:rsidRPr="00FE0D0E" w:rsidP="00FE0D0E">
            <w:pPr>
              <w:pStyle w:val="ListBullet"/>
            </w:pPr>
            <w:r w:rsidRPr="00FE0D0E">
              <w:t>affect of process stages on results</w:t>
            </w:r>
          </w:p>
          <w:p w:rsidR="00000000" w:rsidRPr="00FE0D0E" w:rsidP="00FE0D0E">
            <w:pPr>
              <w:pStyle w:val="ListBullet"/>
            </w:pPr>
            <w:r w:rsidRPr="00FE0D0E">
              <w:t>start-up and set-up procedures as req</w:t>
            </w:r>
            <w:r w:rsidRPr="00FE0D0E">
              <w:t>uired</w:t>
            </w:r>
          </w:p>
          <w:p w:rsidR="00000000" w:rsidRPr="00FE0D0E" w:rsidP="00FE0D0E">
            <w:pPr>
              <w:pStyle w:val="ListBullet"/>
            </w:pPr>
            <w:r w:rsidRPr="00FE0D0E">
              <w:t>common causes and knock-on effects of inaccuracies or contamination, and preventive or corrective action required</w:t>
            </w:r>
          </w:p>
          <w:p w:rsidR="00000000" w:rsidRPr="00FE0D0E" w:rsidP="00FE0D0E">
            <w:pPr>
              <w:pStyle w:val="ListBullet"/>
            </w:pPr>
            <w:r w:rsidRPr="00FE0D0E">
              <w:t>normal range of results for products tested</w:t>
            </w:r>
          </w:p>
          <w:p w:rsidR="00000000" w:rsidRPr="00FE0D0E" w:rsidP="00FE0D0E">
            <w:pPr>
              <w:pStyle w:val="ListBullet"/>
            </w:pPr>
            <w:r w:rsidRPr="00FE0D0E">
              <w:t>recording requirements and procedures</w:t>
            </w:r>
          </w:p>
          <w:p w:rsidR="00000000" w:rsidRPr="00FE0D0E" w:rsidP="00FE0D0E">
            <w:pPr>
              <w:pStyle w:val="ListBullet"/>
            </w:pPr>
            <w:r w:rsidRPr="00FE0D0E">
              <w:t>Occupational health and safety (OHS) hazards and controls</w:t>
            </w:r>
          </w:p>
          <w:p w:rsidR="00000000" w:rsidRPr="00FE0D0E" w:rsidP="00FE0D0E">
            <w:pPr>
              <w:pStyle w:val="ListBullet"/>
            </w:pPr>
            <w:r w:rsidRPr="00FE0D0E">
              <w:t>lock-out and tag-out procedures as required</w:t>
            </w:r>
          </w:p>
          <w:p w:rsidR="00000000" w:rsidRPr="00FE0D0E" w:rsidP="00FE0D0E">
            <w:pPr>
              <w:pStyle w:val="ListBullet"/>
            </w:pPr>
            <w:r w:rsidRPr="00FE0D0E">
              <w:t>procedures and responsibility for reporting problems</w:t>
            </w:r>
          </w:p>
          <w:p w:rsidR="00000000" w:rsidRPr="00FE0D0E" w:rsidP="00FE0D0E">
            <w:pPr>
              <w:pStyle w:val="ListBullet"/>
            </w:pPr>
            <w:r w:rsidRPr="00FE0D0E">
              <w:t>shutdown sequence as required</w:t>
            </w:r>
          </w:p>
          <w:p w:rsidR="00000000" w:rsidRPr="00FE0D0E" w:rsidP="00FE0D0E">
            <w:pPr>
              <w:pStyle w:val="ListBullet"/>
            </w:pPr>
            <w:r w:rsidRPr="00FE0D0E">
              <w:t>environmental issues and controls</w:t>
            </w:r>
          </w:p>
          <w:p w:rsidR="00000000" w:rsidRPr="00FE0D0E" w:rsidP="00FE0D0E">
            <w:pPr>
              <w:pStyle w:val="ListBullet"/>
            </w:pPr>
            <w:r w:rsidRPr="00FE0D0E">
              <w:t>recording requirements and procedures</w:t>
            </w:r>
          </w:p>
          <w:p w:rsidR="00000000" w:rsidRPr="00FE0D0E" w:rsidP="00FE0D0E">
            <w:pPr>
              <w:pStyle w:val="ListBullet"/>
            </w:pPr>
            <w:r w:rsidRPr="00FE0D0E">
              <w:t>routine maintenance procedures.</w:t>
            </w:r>
          </w:p>
        </w:tc>
      </w:tr>
    </w:tbl>
    <w:p w:rsidR="00000000" w:rsidRPr="00FE0D0E" w:rsidP="00FE0D0E">
      <w:pPr>
        <w:pStyle w:val="BodyText"/>
      </w:pPr>
    </w:p>
    <w:p w:rsidR="00000000" w:rsidRPr="00FE0D0E" w:rsidP="00FE0D0E">
      <w:pPr>
        <w:pStyle w:val="AllowPageBreak"/>
      </w:pPr>
    </w:p>
    <w:p w:rsidR="00000000" w:rsidRPr="00FE0D0E" w:rsidP="00FE0D0E">
      <w:pPr>
        <w:pStyle w:val="Heading1"/>
      </w:pPr>
      <w:bookmarkStart w:id="10" w:name="O_447974"/>
      <w:bookmarkEnd w:id="10"/>
      <w:r w:rsidRPr="00FE0D0E">
        <w:t>Evidence Guide</w:t>
      </w:r>
    </w:p>
    <w:tbl>
      <w:tblPr>
        <w:tblW w:w="9462" w:type="dxa"/>
        <w:tblLayout w:type="fixed"/>
        <w:tblCellMar>
          <w:left w:w="62" w:type="dxa"/>
          <w:right w:w="62" w:type="dxa"/>
        </w:tblCellMar>
        <w:tblLook w:val="0000"/>
      </w:tblPr>
      <w:tblGrid>
        <w:gridCol w:w="3800"/>
        <w:gridCol w:w="5662"/>
      </w:tblGrid>
      <w:tr w:rsidTr="00FE0D0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0D0E">
            <w:pPr>
              <w:pStyle w:val="TableHeading"/>
            </w:pPr>
            <w:r w:rsidRPr="00FE0D0E">
              <w:t>EVIDENCE GUIDE</w:t>
            </w:r>
          </w:p>
        </w:tc>
      </w:tr>
      <w:tr w:rsidTr="00FE0D0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 xml:space="preserve">The evidence guide provides advice on assessment and must be read in conjunction with the performance criteria, required skills and knowledge, </w:t>
            </w:r>
            <w:r w:rsidRPr="00FE0D0E">
              <w:t>range statement and the Assessment Guidelines for the Training Package.</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Assessment must be carried out in a manner that recognises the cultural and literacy requirements of the assessee and is appropriate to the work performed. Com</w:t>
            </w:r>
            <w:r w:rsidRPr="00FE0D0E">
              <w:t>petence in this unit must be achieved in accordance with food safety standards and regulations.</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Evidence of ability to:</w:t>
            </w:r>
          </w:p>
          <w:p w:rsidR="00000000" w:rsidRPr="00FE0D0E" w:rsidP="00FE0D0E">
            <w:pPr>
              <w:pStyle w:val="ListBullet"/>
            </w:pPr>
            <w:r w:rsidRPr="00FE0D0E">
              <w:t>prepare equipment and materials for conducting tests</w:t>
            </w:r>
          </w:p>
          <w:p w:rsidR="00000000" w:rsidRPr="00FE0D0E" w:rsidP="00FE0D0E">
            <w:pPr>
              <w:pStyle w:val="ListBullet"/>
            </w:pPr>
            <w:r w:rsidRPr="00FE0D0E">
              <w:t xml:space="preserve">conduct basic tests according to workplace requirements </w:t>
            </w:r>
          </w:p>
          <w:p w:rsidR="00000000" w:rsidRPr="00FE0D0E" w:rsidP="00FE0D0E">
            <w:pPr>
              <w:pStyle w:val="ListBullet"/>
            </w:pPr>
            <w:r w:rsidRPr="00FE0D0E">
              <w:t>identify out-of-standard results</w:t>
            </w:r>
          </w:p>
          <w:p w:rsidR="00000000" w:rsidRPr="00FE0D0E" w:rsidP="00FE0D0E">
            <w:pPr>
              <w:pStyle w:val="ListBullet"/>
            </w:pPr>
            <w:r w:rsidRPr="00FE0D0E">
              <w:t>conduct housekeeping and dispose of waste according to workplace standards</w:t>
            </w:r>
          </w:p>
          <w:p w:rsidR="00000000" w:rsidP="00FE0D0E">
            <w:pPr>
              <w:pStyle w:val="ListBullet"/>
              <w:rPr>
                <w:lang w:val="en-NZ"/>
              </w:rPr>
            </w:pPr>
            <w:r w:rsidRPr="00FE0D0E">
              <w:t>complete documentation.</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Context of an</w:t>
            </w:r>
            <w:r w:rsidRPr="00FE0D0E">
              <w:t>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Assessment must occur in a real or simulated workplace where the assessee has access to:</w:t>
            </w:r>
          </w:p>
          <w:p w:rsidR="00000000" w:rsidRPr="00FE0D0E" w:rsidP="00FE0D0E">
            <w:pPr>
              <w:pStyle w:val="ListBullet"/>
            </w:pPr>
            <w:r w:rsidRPr="00FE0D0E">
              <w:t>personal protective clothing and equipment as required</w:t>
            </w:r>
          </w:p>
          <w:p w:rsidR="00000000" w:rsidRPr="00FE0D0E" w:rsidP="00FE0D0E">
            <w:pPr>
              <w:pStyle w:val="ListBullet"/>
            </w:pPr>
            <w:r w:rsidRPr="00FE0D0E">
              <w:t>work procedures, including advice on company practices, safe work practices</w:t>
            </w:r>
            <w:r w:rsidRPr="00FE0D0E">
              <w:t>, food safety, quality and environmental requirements</w:t>
            </w:r>
          </w:p>
          <w:p w:rsidR="00000000" w:rsidRPr="00FE0D0E" w:rsidP="00FE0D0E">
            <w:pPr>
              <w:pStyle w:val="ListBullet"/>
            </w:pPr>
            <w:r w:rsidRPr="00FE0D0E">
              <w:t>instructions, information, specifications and schedules as required</w:t>
            </w:r>
          </w:p>
          <w:p w:rsidR="00000000" w:rsidRPr="00FE0D0E" w:rsidP="00FE0D0E">
            <w:pPr>
              <w:pStyle w:val="ListBullet"/>
            </w:pPr>
            <w:r w:rsidRPr="00FE0D0E">
              <w:t>equipment, services and corresponding information as required</w:t>
            </w:r>
          </w:p>
          <w:p w:rsidR="00000000" w:rsidRPr="00FE0D0E" w:rsidP="00FE0D0E">
            <w:pPr>
              <w:pStyle w:val="ListBullet"/>
            </w:pPr>
            <w:r w:rsidRPr="00FE0D0E">
              <w:t>products and materials as required</w:t>
            </w:r>
          </w:p>
          <w:p w:rsidR="00000000" w:rsidRPr="00FE0D0E" w:rsidP="00FE0D0E">
            <w:pPr>
              <w:pStyle w:val="ListBullet"/>
            </w:pPr>
            <w:r w:rsidRPr="00FE0D0E">
              <w:t>internal and external customers and suppliers as required</w:t>
            </w:r>
          </w:p>
          <w:p w:rsidR="00000000" w:rsidRPr="00FE0D0E" w:rsidP="00FE0D0E">
            <w:pPr>
              <w:pStyle w:val="ListBullet"/>
            </w:pPr>
            <w:r w:rsidRPr="00FE0D0E">
              <w:t>cleaning procedures, materials and equipment as required</w:t>
            </w:r>
          </w:p>
          <w:p w:rsidR="00000000" w:rsidP="00FE0D0E">
            <w:pPr>
              <w:pStyle w:val="ListBullet"/>
              <w:rPr>
                <w:lang w:val="en-NZ"/>
              </w:rPr>
            </w:pPr>
            <w:r w:rsidRPr="00FE0D0E">
              <w:t>documentation and recording requirements and procedures.</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This unit should be assessed together with other units of comp</w:t>
            </w:r>
            <w:r w:rsidRPr="00FE0D0E">
              <w:t>etency relevant to the function or work role.</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To ensure consistency in one's performance, competence should be demonstrated on more than one occasion over a period of time in order to cover a variety of circumstances, c</w:t>
            </w:r>
            <w:r w:rsidRPr="00FE0D0E">
              <w:t>ases and responsibilities, and where possible, over a number of assessment activities.</w:t>
            </w:r>
          </w:p>
        </w:tc>
      </w:tr>
    </w:tbl>
    <w:p w:rsidR="00F8090C" w:rsidP="00FE0D0E">
      <w:pPr>
        <w:pStyle w:val="BodyText"/>
      </w:pPr>
    </w:p>
    <w:p w:rsidR="00F8090C" w:rsidP="00FE0D0E">
      <w:pPr>
        <w:pStyle w:val="BodyText"/>
      </w:pPr>
    </w:p>
    <w:p w:rsidR="00000000" w:rsidRPr="00FE0D0E" w:rsidP="00FE0D0E">
      <w:pPr>
        <w:pStyle w:val="Heading1"/>
      </w:pPr>
      <w:bookmarkStart w:id="11" w:name="O_447969"/>
      <w:bookmarkEnd w:id="11"/>
      <w:r w:rsidRPr="00FE0D0E">
        <w:t>Range Statement</w:t>
      </w:r>
    </w:p>
    <w:tbl>
      <w:tblPr>
        <w:tblW w:w="9462" w:type="dxa"/>
        <w:tblLayout w:type="fixed"/>
        <w:tblCellMar>
          <w:left w:w="62" w:type="dxa"/>
          <w:right w:w="62" w:type="dxa"/>
        </w:tblCellMar>
        <w:tblLook w:val="0000"/>
      </w:tblPr>
      <w:tblGrid>
        <w:gridCol w:w="3800"/>
        <w:gridCol w:w="5662"/>
      </w:tblGrid>
      <w:tr w:rsidTr="00FE0D0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0D0E">
            <w:pPr>
              <w:pStyle w:val="TableHeading"/>
            </w:pPr>
            <w:r w:rsidRPr="00FE0D0E">
              <w:t>RANGE STATEMENT</w:t>
            </w:r>
          </w:p>
        </w:tc>
      </w:tr>
      <w:tr w:rsidTr="00FE0D0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 xml:space="preserve">The range statement relates to the </w:t>
            </w:r>
            <w:r w:rsidRPr="00FE0D0E">
              <w:t>unit of competency as a whole. It allows for different work environments and situations that may affect performance. Bold italicised wording, if used in the performance criteria, is detailed below. Essential operating conditions that may be present with tr</w:t>
            </w:r>
            <w:r w:rsidRPr="00FE0D0E">
              <w:t>aining and assessment (depending on the work situation, needs of the candidate, accessibility of the item, and local industry and regional contexts) may also be included.</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Work is carried out in accordance with workplace procedures</w:t>
            </w:r>
            <w:r w:rsidRPr="00FE0D0E">
              <w:t>, licensing requirements and legislative requirements</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Workplace information may include:</w:t>
            </w:r>
          </w:p>
          <w:p w:rsidR="00000000" w:rsidRPr="00FE0D0E" w:rsidP="00FE0D0E">
            <w:pPr>
              <w:pStyle w:val="ListBullet"/>
            </w:pPr>
            <w:r w:rsidRPr="00FE0D0E">
              <w:t>Standard Operating Procedures (SOPs)</w:t>
            </w:r>
          </w:p>
          <w:p w:rsidR="00000000" w:rsidRPr="00FE0D0E" w:rsidP="00FE0D0E">
            <w:pPr>
              <w:pStyle w:val="ListBullet"/>
            </w:pPr>
            <w:r w:rsidRPr="00FE0D0E">
              <w:t>specifications</w:t>
            </w:r>
          </w:p>
          <w:p w:rsidR="00000000" w:rsidRPr="00FE0D0E" w:rsidP="00FE0D0E">
            <w:pPr>
              <w:pStyle w:val="ListBullet"/>
            </w:pPr>
            <w:r w:rsidRPr="00FE0D0E">
              <w:t xml:space="preserve">production schedules </w:t>
            </w:r>
          </w:p>
          <w:p w:rsidR="00000000" w:rsidRPr="00FE0D0E" w:rsidP="00FE0D0E">
            <w:pPr>
              <w:pStyle w:val="ListBullet"/>
            </w:pPr>
            <w:r w:rsidRPr="00FE0D0E">
              <w:t>instructions</w:t>
            </w:r>
          </w:p>
          <w:p w:rsidR="00000000" w:rsidRPr="00FE0D0E" w:rsidP="00FE0D0E">
            <w:pPr>
              <w:pStyle w:val="ListBullet"/>
            </w:pPr>
            <w:r w:rsidRPr="00FE0D0E">
              <w:t>work notes</w:t>
            </w:r>
          </w:p>
          <w:p w:rsidR="00000000" w:rsidRPr="00FE0D0E" w:rsidP="00FE0D0E">
            <w:pPr>
              <w:pStyle w:val="ListBullet"/>
            </w:pPr>
            <w:r w:rsidRPr="00FE0D0E">
              <w:t>Material Safety Data Sheets (MSDS)</w:t>
            </w:r>
          </w:p>
          <w:p w:rsidR="00000000" w:rsidRPr="00FE0D0E" w:rsidP="00FE0D0E">
            <w:pPr>
              <w:pStyle w:val="ListBullet"/>
            </w:pPr>
            <w:r w:rsidRPr="00FE0D0E">
              <w:t xml:space="preserve">manufacturer instructions </w:t>
            </w:r>
          </w:p>
          <w:p w:rsidR="00000000" w:rsidP="00FE0D0E">
            <w:pPr>
              <w:pStyle w:val="ListBullet"/>
              <w:rPr>
                <w:lang w:val="en-NZ"/>
              </w:rPr>
            </w:pPr>
            <w:r w:rsidRPr="00FE0D0E">
              <w:t>verbal direction from laboratory manager, supervisor or senior operator</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Sample preparation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Sample preparation may include:</w:t>
            </w:r>
          </w:p>
          <w:p w:rsidR="00000000" w:rsidRPr="00FE0D0E" w:rsidP="00FE0D0E">
            <w:pPr>
              <w:pStyle w:val="ListBullet"/>
            </w:pPr>
            <w:r w:rsidRPr="00FE0D0E">
              <w:t>fining</w:t>
            </w:r>
          </w:p>
          <w:p w:rsidR="00000000" w:rsidRPr="00FE0D0E" w:rsidP="00FE0D0E">
            <w:pPr>
              <w:pStyle w:val="ListBullet"/>
            </w:pPr>
            <w:r w:rsidRPr="00FE0D0E">
              <w:t>filtration</w:t>
            </w:r>
          </w:p>
          <w:p w:rsidR="00000000" w:rsidRPr="00FE0D0E" w:rsidP="00FE0D0E">
            <w:pPr>
              <w:pStyle w:val="ListBullet"/>
            </w:pPr>
            <w:r w:rsidRPr="00FE0D0E">
              <w:t>centrifugation</w:t>
            </w:r>
          </w:p>
          <w:p w:rsidR="00000000" w:rsidRPr="00FE0D0E" w:rsidP="00FE0D0E">
            <w:pPr>
              <w:pStyle w:val="ListBullet"/>
            </w:pPr>
            <w:r w:rsidRPr="00FE0D0E">
              <w:t>dissolving</w:t>
            </w:r>
          </w:p>
          <w:p w:rsidR="00000000" w:rsidP="00FE0D0E">
            <w:pPr>
              <w:pStyle w:val="ListBullet"/>
              <w:rPr>
                <w:lang w:val="en-NZ"/>
              </w:rPr>
            </w:pPr>
            <w:r w:rsidRPr="00FE0D0E">
              <w:t>degassing</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 xml:space="preserve">The range of tests performed may include the following techniques: </w:t>
            </w:r>
          </w:p>
          <w:p w:rsidR="00000000" w:rsidRPr="00FE0D0E" w:rsidP="00FE0D0E">
            <w:pPr>
              <w:pStyle w:val="ListBullet"/>
            </w:pPr>
            <w:r w:rsidRPr="00FE0D0E">
              <w:t>volumetric analysis, titration (acid base/redox), pipetting, densities, refractive indices, filtration, distillation/reflux, gravimetric tests, potentiometry and turbimetric analysis</w:t>
            </w:r>
          </w:p>
          <w:p w:rsidR="00000000" w:rsidRPr="00FE0D0E" w:rsidP="00FE0D0E">
            <w:pPr>
              <w:pStyle w:val="BodyText"/>
            </w:pPr>
            <w:r w:rsidRPr="00FE0D0E">
              <w:t>Typi</w:t>
            </w:r>
            <w:r w:rsidRPr="00FE0D0E">
              <w:t>cal tests performed at this level should include:</w:t>
            </w:r>
          </w:p>
          <w:p w:rsidR="00000000" w:rsidP="00FE0D0E">
            <w:pPr>
              <w:pStyle w:val="ListBullet"/>
              <w:rPr>
                <w:lang w:val="en-NZ"/>
              </w:rPr>
            </w:pPr>
            <w:r w:rsidRPr="00FE0D0E">
              <w:t xml:space="preserve">sugar by hydrometry and refractometry, pH, baumé/brix, titratable acid, alcohol, sulphur dioxide, protein stability, tartrate stability and may include reducing sugars, volatile acid, ascorbic acid, malic </w:t>
            </w:r>
            <w:r w:rsidRPr="00FE0D0E">
              <w:t>acid by chromatography, YAN by titration, turbidity, specific gravity/density, simple colourimetric analysis, carbon dioxide, dissolved oxygen, and other tests as required by the workplace</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Equipment may vary and should include that listed in SOPs</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t>Materials may vary and should include those listed in SOPs</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Confirming equipment status involves:</w:t>
            </w:r>
          </w:p>
          <w:p w:rsidR="00000000" w:rsidRPr="00FE0D0E" w:rsidP="00FE0D0E">
            <w:pPr>
              <w:pStyle w:val="ListBullet"/>
            </w:pPr>
            <w:r w:rsidRPr="00FE0D0E">
              <w:t>checking that hygiene and sanitation standards, safety standards and pre-start requirements are met and that equipment is operational</w:t>
            </w:r>
          </w:p>
          <w:p w:rsidR="00000000" w:rsidP="00FE0D0E">
            <w:pPr>
              <w:pStyle w:val="ListBullet"/>
              <w:rPr>
                <w:lang w:val="en-NZ"/>
              </w:rPr>
            </w:pPr>
            <w:r w:rsidRPr="00FE0D0E">
              <w:t>checking the operation and/or calibration of measuring instrumentation</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Services may include:</w:t>
            </w:r>
          </w:p>
          <w:p w:rsidR="00000000" w:rsidRPr="00FE0D0E" w:rsidP="00FE0D0E">
            <w:pPr>
              <w:pStyle w:val="ListBullet"/>
            </w:pPr>
            <w:r w:rsidRPr="00FE0D0E">
              <w:t>water</w:t>
            </w:r>
          </w:p>
          <w:p w:rsidR="00000000" w:rsidRPr="00FE0D0E" w:rsidP="00FE0D0E">
            <w:pPr>
              <w:pStyle w:val="ListBullet"/>
            </w:pPr>
            <w:r w:rsidRPr="00FE0D0E">
              <w:t xml:space="preserve">gas </w:t>
            </w:r>
          </w:p>
          <w:p w:rsidR="00000000" w:rsidP="00FE0D0E">
            <w:pPr>
              <w:pStyle w:val="ListBullet"/>
              <w:rPr>
                <w:lang w:val="en-NZ"/>
              </w:rPr>
            </w:pPr>
            <w:r w:rsidRPr="00FE0D0E">
              <w:t>power</w:t>
            </w:r>
          </w:p>
        </w:tc>
      </w:tr>
      <w:tr w:rsidTr="00FE0D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BodyText"/>
              <w:rPr>
                <w:lang w:val="en-NZ"/>
              </w:rPr>
            </w:pPr>
            <w:r w:rsidRPr="00FE0D0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Information systems may be:</w:t>
            </w:r>
          </w:p>
          <w:p w:rsidR="00000000" w:rsidRPr="00FE0D0E" w:rsidP="00FE0D0E">
            <w:pPr>
              <w:pStyle w:val="ListBullet"/>
            </w:pPr>
            <w:r w:rsidRPr="00FE0D0E">
              <w:t>print or screen based</w:t>
            </w:r>
          </w:p>
        </w:tc>
      </w:tr>
    </w:tbl>
    <w:p w:rsidR="00000000" w:rsidRPr="00FE0D0E" w:rsidP="00FE0D0E">
      <w:pPr>
        <w:pStyle w:val="BodyText"/>
      </w:pPr>
    </w:p>
    <w:p w:rsidR="00000000" w:rsidRPr="00FE0D0E" w:rsidP="00FE0D0E">
      <w:pPr>
        <w:pStyle w:val="AllowPageBreak"/>
      </w:pPr>
    </w:p>
    <w:p w:rsidR="00000000" w:rsidRPr="00FE0D0E" w:rsidP="00FE0D0E">
      <w:pPr>
        <w:pStyle w:val="Heading1"/>
      </w:pPr>
      <w:bookmarkStart w:id="12" w:name="O_447966"/>
      <w:bookmarkEnd w:id="12"/>
      <w:r w:rsidRPr="00FE0D0E">
        <w:t>Unit Sector(s)</w:t>
      </w:r>
    </w:p>
    <w:tbl>
      <w:tblPr>
        <w:tblW w:w="9462" w:type="dxa"/>
        <w:tblLayout w:type="fixed"/>
        <w:tblCellMar>
          <w:left w:w="62" w:type="dxa"/>
          <w:right w:w="62" w:type="dxa"/>
        </w:tblCellMar>
        <w:tblLook w:val="0000"/>
      </w:tblPr>
      <w:tblGrid>
        <w:gridCol w:w="2663"/>
        <w:gridCol w:w="6799"/>
      </w:tblGrid>
      <w:tr w:rsidTr="00FE0D0E">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0E">
            <w:pPr>
              <w:pStyle w:val="Heading4"/>
            </w:pPr>
            <w:r w:rsidRPr="00FE0D0E">
              <w:t>Unit sector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0E" w:rsidP="00FE0D0E">
            <w:pPr>
              <w:pStyle w:val="BodyText"/>
            </w:pPr>
            <w:r w:rsidRPr="00FE0D0E">
              <w:t>Wine operations</w:t>
            </w:r>
          </w:p>
        </w:tc>
      </w:tr>
    </w:tbl>
    <w:p w:rsidR="00F8090C" w:rsidP="00FE0D0E">
      <w:pPr>
        <w:pStyle w:val="BodyText"/>
      </w:pPr>
    </w:p>
    <w:p w:rsidR="00F8090C" w:rsidP="00FE0D0E">
      <w:pPr>
        <w:pStyle w:val="BodyText"/>
      </w:pPr>
    </w:p>
    <w:p w:rsidR="00000000" w:rsidRPr="00FE0D0E" w:rsidP="00FE0D0E"/>
    <w:sectPr w:rsidSect="00FE0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90C" w:rsidP="00F80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0C" w:rsidP="00FE0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090C" w:rsidP="00FE0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090C" w:rsidP="00FE0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90C" w:rsidP="00F809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0C" w:rsidP="00FE0D0E">
    <w:pPr>
      <w:pStyle w:val="Header"/>
      <w:framePr w:wrap="around"/>
    </w:pPr>
    <w:r>
      <w:fldChar w:fldCharType="begin"/>
    </w:r>
    <w:r>
      <w:instrText xml:space="preserve"> TITLE   \* MERGEFORMAT </w:instrText>
    </w:r>
    <w:r>
      <w:fldChar w:fldCharType="separate"/>
    </w:r>
    <w:r>
      <w:t>FDFLAB2001A Perform basic analytical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090C" w:rsidP="00FE0D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24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04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84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D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0D0E"/>
    <w:pPr>
      <w:spacing w:before="360" w:after="60"/>
      <w:outlineLvl w:val="0"/>
    </w:pPr>
    <w:rPr>
      <w:sz w:val="32"/>
    </w:rPr>
  </w:style>
  <w:style w:type="paragraph" w:styleId="Heading2">
    <w:name w:val="heading 2"/>
    <w:basedOn w:val="HeadingBase"/>
    <w:next w:val="BodyText"/>
    <w:link w:val="Heading2Char"/>
    <w:qFormat/>
    <w:rsid w:val="00FE0D0E"/>
    <w:pPr>
      <w:keepLines/>
      <w:spacing w:before="240" w:after="120"/>
      <w:outlineLvl w:val="1"/>
    </w:pPr>
    <w:rPr>
      <w:sz w:val="28"/>
      <w:szCs w:val="40"/>
    </w:rPr>
  </w:style>
  <w:style w:type="paragraph" w:styleId="Heading3">
    <w:name w:val="heading 3"/>
    <w:basedOn w:val="HeadingBase"/>
    <w:next w:val="BodyText"/>
    <w:link w:val="Heading3Char"/>
    <w:qFormat/>
    <w:rsid w:val="00FE0D0E"/>
    <w:pPr>
      <w:spacing w:before="180" w:after="120"/>
      <w:outlineLvl w:val="2"/>
    </w:pPr>
    <w:rPr>
      <w:spacing w:val="-10"/>
      <w:kern w:val="32"/>
    </w:rPr>
  </w:style>
  <w:style w:type="paragraph" w:styleId="Heading4">
    <w:name w:val="heading 4"/>
    <w:basedOn w:val="HeadingBase"/>
    <w:next w:val="BodyText"/>
    <w:link w:val="Heading4Char"/>
    <w:qFormat/>
    <w:rsid w:val="00FE0D0E"/>
    <w:pPr>
      <w:spacing w:before="160" w:after="120"/>
      <w:outlineLvl w:val="3"/>
    </w:pPr>
    <w:rPr>
      <w:sz w:val="22"/>
    </w:rPr>
  </w:style>
  <w:style w:type="paragraph" w:styleId="Heading5">
    <w:name w:val="heading 5"/>
    <w:basedOn w:val="HeadingBase"/>
    <w:next w:val="Normal"/>
    <w:link w:val="Heading5Char"/>
    <w:qFormat/>
    <w:rsid w:val="00FE0D0E"/>
    <w:pPr>
      <w:spacing w:before="80"/>
      <w:outlineLvl w:val="4"/>
    </w:pPr>
    <w:rPr>
      <w:color w:val="918585"/>
      <w:sz w:val="20"/>
    </w:rPr>
  </w:style>
  <w:style w:type="paragraph" w:styleId="Heading6">
    <w:name w:val="heading 6"/>
    <w:basedOn w:val="HeadingBase"/>
    <w:next w:val="Normal"/>
    <w:link w:val="Heading6Char"/>
    <w:qFormat/>
    <w:rsid w:val="00FE0D0E"/>
    <w:pPr>
      <w:spacing w:before="60"/>
      <w:outlineLvl w:val="5"/>
    </w:pPr>
    <w:rPr>
      <w:color w:val="918585"/>
      <w:sz w:val="20"/>
    </w:rPr>
  </w:style>
  <w:style w:type="paragraph" w:styleId="Heading7">
    <w:name w:val="heading 7"/>
    <w:basedOn w:val="Normal"/>
    <w:next w:val="Normal"/>
    <w:link w:val="Heading7Char"/>
    <w:qFormat/>
    <w:rsid w:val="00FE0D0E"/>
    <w:pPr>
      <w:ind w:left="720"/>
      <w:outlineLvl w:val="6"/>
    </w:pPr>
    <w:rPr>
      <w:i/>
    </w:rPr>
  </w:style>
  <w:style w:type="paragraph" w:styleId="Heading8">
    <w:name w:val="heading 8"/>
    <w:basedOn w:val="Normal"/>
    <w:next w:val="Normal"/>
    <w:link w:val="Heading8Char"/>
    <w:qFormat/>
    <w:rsid w:val="00FE0D0E"/>
    <w:pPr>
      <w:ind w:left="720"/>
      <w:outlineLvl w:val="7"/>
    </w:pPr>
    <w:rPr>
      <w:i/>
    </w:rPr>
  </w:style>
  <w:style w:type="paragraph" w:styleId="Heading9">
    <w:name w:val="heading 9"/>
    <w:basedOn w:val="Normal"/>
    <w:next w:val="Normal"/>
    <w:link w:val="Heading9Char"/>
    <w:qFormat/>
    <w:rsid w:val="00FE0D0E"/>
    <w:pPr>
      <w:ind w:left="720"/>
      <w:outlineLvl w:val="8"/>
    </w:pPr>
    <w:rPr>
      <w:i/>
    </w:rPr>
  </w:style>
  <w:style w:type="character" w:default="1" w:styleId="DefaultParagraphFont">
    <w:name w:val="Default Paragraph Font"/>
    <w:uiPriority w:val="1"/>
    <w:unhideWhenUsed/>
    <w:rsid w:val="00FE0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D0E"/>
  </w:style>
  <w:style w:type="character" w:customStyle="1" w:styleId="Heading1Char">
    <w:name w:val="Heading 1 Char"/>
    <w:basedOn w:val="DefaultParagraphFont"/>
    <w:link w:val="Heading1"/>
    <w:rsid w:val="00FE0D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0D0E"/>
    <w:rPr>
      <w:rFonts w:ascii="Times New Roman" w:eastAsia="Times New Roman" w:hAnsi="Times New Roman" w:cs="Times New Roman"/>
      <w:b/>
      <w:szCs w:val="20"/>
      <w:lang w:eastAsia="en-US"/>
    </w:rPr>
  </w:style>
  <w:style w:type="paragraph" w:styleId="BodyText">
    <w:name w:val="Body Text"/>
    <w:basedOn w:val="Normal"/>
    <w:link w:val="BodyTextChar"/>
    <w:rsid w:val="00FE0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D0E"/>
    <w:rPr>
      <w:rFonts w:ascii="Times New Roman" w:eastAsia="Times New Roman" w:hAnsi="Times New Roman" w:cs="Times New Roman"/>
      <w:sz w:val="24"/>
      <w:lang w:val="en-US" w:eastAsia="en-US"/>
    </w:rPr>
  </w:style>
  <w:style w:type="paragraph" w:styleId="Footer">
    <w:name w:val="footer"/>
    <w:basedOn w:val="Normal"/>
    <w:link w:val="FooterChar"/>
    <w:rsid w:val="00FE0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D0E"/>
    <w:rPr>
      <w:rFonts w:ascii="Times New Roman" w:eastAsia="Times New Roman" w:hAnsi="Times New Roman" w:cs="Times New Roman"/>
      <w:sz w:val="16"/>
      <w:lang w:val="en-US" w:eastAsia="en-US"/>
    </w:rPr>
  </w:style>
  <w:style w:type="paragraph" w:styleId="List">
    <w:name w:val="List"/>
    <w:basedOn w:val="BodyText"/>
    <w:next w:val="BodyText"/>
    <w:rsid w:val="00FE0D0E"/>
    <w:pPr>
      <w:tabs>
        <w:tab w:val="left" w:pos="340"/>
      </w:tabs>
      <w:spacing w:before="60" w:after="60"/>
      <w:ind w:left="340" w:hanging="340"/>
    </w:pPr>
  </w:style>
  <w:style w:type="paragraph" w:styleId="ListBullet">
    <w:name w:val="List Bullet"/>
    <w:basedOn w:val="List"/>
    <w:rsid w:val="00FE0D0E"/>
    <w:pPr>
      <w:numPr>
        <w:numId w:val="13"/>
      </w:numPr>
      <w:tabs>
        <w:tab w:val="clear" w:pos="340"/>
      </w:tabs>
      <w:spacing w:before="40" w:after="40"/>
    </w:pPr>
  </w:style>
  <w:style w:type="character" w:customStyle="1" w:styleId="SpecialBold">
    <w:name w:val="Special Bold"/>
    <w:basedOn w:val="DefaultParagraphFont"/>
    <w:rsid w:val="00FE0D0E"/>
    <w:rPr>
      <w:b/>
      <w:spacing w:val="0"/>
    </w:rPr>
  </w:style>
  <w:style w:type="paragraph" w:styleId="ListBullet2">
    <w:name w:val="List Bullet 2"/>
    <w:basedOn w:val="List2"/>
    <w:rsid w:val="00FE0D0E"/>
    <w:pPr>
      <w:numPr>
        <w:numId w:val="14"/>
      </w:numPr>
      <w:tabs>
        <w:tab w:val="clear" w:pos="680"/>
      </w:tabs>
    </w:pPr>
  </w:style>
  <w:style w:type="paragraph" w:styleId="Header">
    <w:name w:val="header"/>
    <w:basedOn w:val="Normal"/>
    <w:link w:val="HeaderChar"/>
    <w:rsid w:val="00FE0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D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0D0E"/>
    <w:pPr>
      <w:spacing w:before="240" w:after="120"/>
      <w:outlineLvl w:val="0"/>
    </w:pPr>
    <w:rPr>
      <w:rFonts w:ascii="Times New Roman" w:hAnsi="Times New Roman"/>
      <w:b/>
      <w:sz w:val="28"/>
    </w:rPr>
  </w:style>
  <w:style w:type="paragraph" w:customStyle="1" w:styleId="TableHeading">
    <w:name w:val="Table Heading"/>
    <w:basedOn w:val="HeadingBase"/>
    <w:rsid w:val="00FE0D0E"/>
    <w:pPr>
      <w:keepLines/>
      <w:pBdr>
        <w:bottom w:val="single" w:sz="6" w:space="1" w:color="918585"/>
      </w:pBdr>
      <w:spacing w:before="240"/>
    </w:pPr>
  </w:style>
  <w:style w:type="paragraph" w:customStyle="1" w:styleId="AllowPageBreak">
    <w:name w:val="AllowPageBreak"/>
    <w:rsid w:val="00FE0D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D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0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D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0D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0D0E"/>
    <w:rPr>
      <w:rFonts w:ascii="Courier New" w:eastAsia="Times New Roman" w:hAnsi="Courier New" w:cs="Times New Roman"/>
      <w:i/>
      <w:szCs w:val="20"/>
      <w:lang w:val="en-US" w:eastAsia="en-US"/>
    </w:rPr>
  </w:style>
  <w:style w:type="paragraph" w:customStyle="1" w:styleId="HeadingBase">
    <w:name w:val="Heading Base"/>
    <w:rsid w:val="00FE0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D0E"/>
    <w:pPr>
      <w:tabs>
        <w:tab w:val="right" w:leader="dot" w:pos="9072"/>
      </w:tabs>
      <w:ind w:left="567"/>
    </w:pPr>
    <w:rPr>
      <w:szCs w:val="22"/>
    </w:rPr>
  </w:style>
  <w:style w:type="paragraph" w:customStyle="1" w:styleId="TOCBase">
    <w:name w:val="TOC Base"/>
    <w:rsid w:val="00FE0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D0E"/>
    <w:pPr>
      <w:tabs>
        <w:tab w:val="right" w:leader="dot" w:pos="9072"/>
      </w:tabs>
      <w:spacing w:before="40" w:after="40"/>
      <w:ind w:left="284"/>
    </w:pPr>
    <w:rPr>
      <w:rFonts w:ascii="Times New Roman" w:hAnsi="Times New Roman"/>
    </w:rPr>
  </w:style>
  <w:style w:type="paragraph" w:styleId="TOC1">
    <w:name w:val="toc 1"/>
    <w:basedOn w:val="TOCBase"/>
    <w:next w:val="Normal"/>
    <w:rsid w:val="00FE0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D0E"/>
    <w:pPr>
      <w:spacing w:before="5040"/>
      <w:jc w:val="center"/>
    </w:pPr>
    <w:rPr>
      <w:sz w:val="48"/>
      <w:szCs w:val="72"/>
      <w:lang w:val="en-US"/>
    </w:rPr>
  </w:style>
  <w:style w:type="character" w:customStyle="1" w:styleId="TitleChar">
    <w:name w:val="Title Char"/>
    <w:basedOn w:val="DefaultParagraphFont"/>
    <w:link w:val="Title"/>
    <w:rsid w:val="00FE0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D0E"/>
    <w:pPr>
      <w:tabs>
        <w:tab w:val="left" w:pos="3600"/>
        <w:tab w:val="left" w:pos="3958"/>
      </w:tabs>
    </w:pPr>
  </w:style>
  <w:style w:type="paragraph" w:customStyle="1" w:styleId="Note">
    <w:name w:val="Note"/>
    <w:basedOn w:val="BodyText"/>
    <w:rsid w:val="00FE0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D0E"/>
    <w:pPr>
      <w:framePr w:wrap="auto" w:hAnchor="text" w:y="6049"/>
    </w:pPr>
    <w:rPr>
      <w:color w:val="000000"/>
      <w:sz w:val="40"/>
    </w:rPr>
  </w:style>
  <w:style w:type="paragraph" w:customStyle="1" w:styleId="TOCTitle">
    <w:name w:val="TOCTitle"/>
    <w:basedOn w:val="Heading1"/>
    <w:rsid w:val="00FE0D0E"/>
    <w:pPr>
      <w:spacing w:after="240"/>
      <w:jc w:val="center"/>
      <w:outlineLvl w:val="9"/>
    </w:pPr>
    <w:rPr>
      <w:caps/>
    </w:rPr>
  </w:style>
  <w:style w:type="paragraph" w:customStyle="1" w:styleId="Version">
    <w:name w:val="Version"/>
    <w:rsid w:val="00FE0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D0E"/>
    <w:pPr>
      <w:keepNext w:val="0"/>
      <w:tabs>
        <w:tab w:val="right" w:pos="4176"/>
      </w:tabs>
      <w:ind w:left="198" w:hanging="198"/>
    </w:pPr>
    <w:rPr>
      <w:rFonts w:ascii="Garamond" w:hAnsi="Garamond"/>
    </w:rPr>
  </w:style>
  <w:style w:type="paragraph" w:styleId="IndexHeading">
    <w:name w:val="index heading"/>
    <w:basedOn w:val="Normal"/>
    <w:next w:val="Index1"/>
    <w:semiHidden/>
    <w:rsid w:val="00FE0D0E"/>
    <w:pPr>
      <w:spacing w:before="120" w:after="120"/>
    </w:pPr>
    <w:rPr>
      <w:rFonts w:ascii="Arial" w:hAnsi="Arial"/>
      <w:b/>
      <w:color w:val="918585"/>
      <w:sz w:val="24"/>
    </w:rPr>
  </w:style>
  <w:style w:type="paragraph" w:customStyle="1" w:styleId="Chapter">
    <w:name w:val="Chapter"/>
    <w:basedOn w:val="Normal"/>
    <w:rsid w:val="00FE0D0E"/>
    <w:pPr>
      <w:spacing w:before="240"/>
    </w:pPr>
    <w:rPr>
      <w:rFonts w:ascii="Times New Roman" w:hAnsi="Times New Roman"/>
      <w:smallCaps/>
      <w:spacing w:val="80"/>
      <w:sz w:val="28"/>
    </w:rPr>
  </w:style>
  <w:style w:type="paragraph" w:customStyle="1" w:styleId="InChapter">
    <w:name w:val="InChapter"/>
    <w:basedOn w:val="Heading3"/>
    <w:rsid w:val="00FE0D0E"/>
    <w:pPr>
      <w:spacing w:after="240"/>
      <w:outlineLvl w:val="9"/>
    </w:pPr>
    <w:rPr>
      <w:noProof/>
    </w:rPr>
  </w:style>
  <w:style w:type="paragraph" w:styleId="Index2">
    <w:name w:val="index 2"/>
    <w:basedOn w:val="Normal"/>
    <w:next w:val="Normal"/>
    <w:semiHidden/>
    <w:rsid w:val="00FE0D0E"/>
    <w:pPr>
      <w:tabs>
        <w:tab w:val="right" w:pos="4176"/>
      </w:tabs>
      <w:ind w:left="568" w:hanging="284"/>
    </w:pPr>
    <w:rPr>
      <w:rFonts w:ascii="Garamond" w:hAnsi="Garamond"/>
    </w:rPr>
  </w:style>
  <w:style w:type="paragraph" w:customStyle="1" w:styleId="Byline">
    <w:name w:val="Byline"/>
    <w:rsid w:val="00FE0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D0E"/>
    <w:pPr>
      <w:tabs>
        <w:tab w:val="clear" w:pos="3600"/>
        <w:tab w:val="clear" w:pos="3958"/>
      </w:tabs>
      <w:jc w:val="right"/>
    </w:pPr>
  </w:style>
  <w:style w:type="character" w:styleId="Emphasis">
    <w:name w:val="Emphasis"/>
    <w:basedOn w:val="DefaultParagraphFont"/>
    <w:qFormat/>
    <w:rsid w:val="00FE0D0E"/>
    <w:rPr>
      <w:i/>
    </w:rPr>
  </w:style>
  <w:style w:type="paragraph" w:styleId="Caption">
    <w:name w:val="caption"/>
    <w:basedOn w:val="BodyText"/>
    <w:next w:val="Normal"/>
    <w:qFormat/>
    <w:rsid w:val="00FE0D0E"/>
    <w:pPr>
      <w:framePr w:w="2268" w:hSpace="181" w:vSpace="181" w:wrap="around" w:vAnchor="text" w:hAnchor="page" w:x="1135" w:y="285" w:anchorLock="1"/>
    </w:pPr>
    <w:rPr>
      <w:i/>
    </w:rPr>
  </w:style>
  <w:style w:type="paragraph" w:customStyle="1" w:styleId="MiniTOCTitle">
    <w:name w:val="MiniTOCTitle"/>
    <w:basedOn w:val="Heading4"/>
    <w:rsid w:val="00FE0D0E"/>
    <w:pPr>
      <w:spacing w:before="240"/>
      <w:outlineLvl w:val="9"/>
    </w:pPr>
    <w:rPr>
      <w:noProof/>
      <w:sz w:val="24"/>
    </w:rPr>
  </w:style>
  <w:style w:type="paragraph" w:customStyle="1" w:styleId="MiniTOCItem">
    <w:name w:val="MiniTOCItem"/>
    <w:basedOn w:val="ListBullet"/>
    <w:rsid w:val="00FE0D0E"/>
    <w:pPr>
      <w:numPr>
        <w:numId w:val="0"/>
      </w:numPr>
      <w:tabs>
        <w:tab w:val="right" w:leader="dot" w:pos="6521"/>
      </w:tabs>
      <w:spacing w:before="0" w:after="0"/>
    </w:pPr>
  </w:style>
  <w:style w:type="paragraph" w:customStyle="1" w:styleId="TOFTitle">
    <w:name w:val="TOFTitle"/>
    <w:basedOn w:val="TOCTitle"/>
    <w:rsid w:val="00FE0D0E"/>
  </w:style>
  <w:style w:type="paragraph" w:styleId="TableofFigures">
    <w:name w:val="table of figures"/>
    <w:basedOn w:val="Normal"/>
    <w:next w:val="Normal"/>
    <w:semiHidden/>
    <w:rsid w:val="00FE0D0E"/>
    <w:pPr>
      <w:tabs>
        <w:tab w:val="right" w:leader="dot" w:pos="9072"/>
      </w:tabs>
      <w:ind w:left="970" w:hanging="403"/>
    </w:pPr>
    <w:rPr>
      <w:rFonts w:ascii="Times New Roman" w:hAnsi="Times New Roman"/>
      <w:b/>
    </w:rPr>
  </w:style>
  <w:style w:type="paragraph" w:styleId="ListNumber">
    <w:name w:val="List Number"/>
    <w:basedOn w:val="List"/>
    <w:rsid w:val="00FE0D0E"/>
    <w:pPr>
      <w:numPr>
        <w:numId w:val="11"/>
      </w:numPr>
    </w:pPr>
  </w:style>
  <w:style w:type="character" w:customStyle="1" w:styleId="WingdingSymbols">
    <w:name w:val="Wingding Symbols"/>
    <w:rsid w:val="00FE0D0E"/>
    <w:rPr>
      <w:rFonts w:ascii="Wingdings" w:hAnsi="Wingdings"/>
    </w:rPr>
  </w:style>
  <w:style w:type="character" w:customStyle="1" w:styleId="HotSpot">
    <w:name w:val="HotSpot"/>
    <w:rsid w:val="00FE0D0E"/>
    <w:rPr>
      <w:color w:val="0033CC"/>
      <w:u w:val="none"/>
    </w:rPr>
  </w:style>
  <w:style w:type="paragraph" w:customStyle="1" w:styleId="BodyTextRight">
    <w:name w:val="Body Text Right"/>
    <w:basedOn w:val="BodyText"/>
    <w:rsid w:val="00FE0D0E"/>
    <w:pPr>
      <w:spacing w:before="0" w:after="0"/>
      <w:jc w:val="right"/>
    </w:pPr>
  </w:style>
  <w:style w:type="paragraph" w:styleId="Index3">
    <w:name w:val="index 3"/>
    <w:basedOn w:val="ListNumber2"/>
    <w:next w:val="Normal"/>
    <w:semiHidden/>
    <w:rsid w:val="00FE0D0E"/>
    <w:pPr>
      <w:numPr>
        <w:numId w:val="0"/>
      </w:numPr>
      <w:tabs>
        <w:tab w:val="right" w:leader="dot" w:pos="4176"/>
      </w:tabs>
    </w:pPr>
  </w:style>
  <w:style w:type="paragraph" w:styleId="ListNumber2">
    <w:name w:val="List Number 2"/>
    <w:basedOn w:val="List2"/>
    <w:rsid w:val="00FE0D0E"/>
    <w:pPr>
      <w:numPr>
        <w:numId w:val="10"/>
      </w:numPr>
      <w:tabs>
        <w:tab w:val="clear" w:pos="1060"/>
      </w:tabs>
    </w:pPr>
  </w:style>
  <w:style w:type="paragraph" w:customStyle="1" w:styleId="MarginNote">
    <w:name w:val="Margin Note"/>
    <w:basedOn w:val="BodyText"/>
    <w:rsid w:val="00FE0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D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0D0E"/>
    <w:rPr>
      <w:sz w:val="32"/>
    </w:rPr>
  </w:style>
  <w:style w:type="paragraph" w:customStyle="1" w:styleId="HeadingProcedure">
    <w:name w:val="Heading Procedure"/>
    <w:basedOn w:val="HeadingBase"/>
    <w:next w:val="Normal"/>
    <w:rsid w:val="00FE0D0E"/>
    <w:pPr>
      <w:tabs>
        <w:tab w:val="left" w:pos="0"/>
      </w:tabs>
      <w:spacing w:before="120" w:after="60"/>
    </w:pPr>
    <w:rPr>
      <w:i/>
      <w:color w:val="918585"/>
      <w:sz w:val="22"/>
    </w:rPr>
  </w:style>
  <w:style w:type="paragraph" w:customStyle="1" w:styleId="TableBodyText">
    <w:name w:val="Table Body Text"/>
    <w:basedOn w:val="BodyText"/>
    <w:rsid w:val="00FE0D0E"/>
    <w:pPr>
      <w:spacing w:before="60" w:after="60"/>
    </w:pPr>
  </w:style>
  <w:style w:type="paragraph" w:styleId="ListContinue">
    <w:name w:val="List Continue"/>
    <w:basedOn w:val="List"/>
    <w:rsid w:val="00FE0D0E"/>
    <w:pPr>
      <w:ind w:firstLine="0"/>
    </w:pPr>
  </w:style>
  <w:style w:type="paragraph" w:customStyle="1" w:styleId="ListNote">
    <w:name w:val="List Note"/>
    <w:basedOn w:val="List"/>
    <w:rsid w:val="00FE0D0E"/>
    <w:pPr>
      <w:pBdr>
        <w:top w:val="single" w:sz="6" w:space="2" w:color="918585"/>
        <w:bottom w:val="single" w:sz="6" w:space="2" w:color="918585"/>
      </w:pBdr>
      <w:tabs>
        <w:tab w:val="left" w:pos="1021"/>
      </w:tabs>
      <w:ind w:firstLine="0"/>
    </w:pPr>
  </w:style>
  <w:style w:type="paragraph" w:customStyle="1" w:styleId="Warning">
    <w:name w:val="Warning"/>
    <w:basedOn w:val="BodyText"/>
    <w:rsid w:val="00FE0D0E"/>
    <w:pPr>
      <w:shd w:val="clear" w:color="auto" w:fill="D9D9D9"/>
      <w:tabs>
        <w:tab w:val="left" w:pos="992"/>
      </w:tabs>
      <w:ind w:left="119" w:right="119"/>
    </w:pPr>
    <w:rPr>
      <w:sz w:val="20"/>
    </w:rPr>
  </w:style>
  <w:style w:type="paragraph" w:customStyle="1" w:styleId="MarginIcons">
    <w:name w:val="Margin Icons"/>
    <w:basedOn w:val="BodyText"/>
    <w:rsid w:val="00FE0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D0E"/>
    <w:rPr>
      <w:rFonts w:ascii="Courier New" w:hAnsi="Courier New"/>
    </w:rPr>
  </w:style>
  <w:style w:type="paragraph" w:customStyle="1" w:styleId="NoteBullet">
    <w:name w:val="Note Bullet"/>
    <w:basedOn w:val="Note"/>
    <w:rsid w:val="00FE0D0E"/>
    <w:pPr>
      <w:tabs>
        <w:tab w:val="clear" w:pos="680"/>
      </w:tabs>
      <w:spacing w:before="60" w:after="60"/>
    </w:pPr>
  </w:style>
  <w:style w:type="paragraph" w:customStyle="1" w:styleId="SubHeading2">
    <w:name w:val="SubHeading2"/>
    <w:basedOn w:val="HeadingBase"/>
    <w:rsid w:val="00FE0D0E"/>
    <w:pPr>
      <w:spacing w:before="240" w:after="60"/>
    </w:pPr>
    <w:rPr>
      <w:sz w:val="20"/>
    </w:rPr>
  </w:style>
  <w:style w:type="paragraph" w:customStyle="1" w:styleId="SubHeading1">
    <w:name w:val="SubHeading1"/>
    <w:basedOn w:val="HeadingBase"/>
    <w:rsid w:val="00FE0D0E"/>
    <w:pPr>
      <w:spacing w:before="240" w:after="60"/>
    </w:pPr>
    <w:rPr>
      <w:color w:val="918585"/>
      <w:sz w:val="22"/>
    </w:rPr>
  </w:style>
  <w:style w:type="paragraph" w:customStyle="1" w:styleId="SideHeading">
    <w:name w:val="Side Heading"/>
    <w:basedOn w:val="HeadingBase"/>
    <w:rsid w:val="00FE0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D0E"/>
    <w:pPr>
      <w:numPr>
        <w:numId w:val="12"/>
      </w:numPr>
    </w:pPr>
  </w:style>
  <w:style w:type="paragraph" w:styleId="PlainText">
    <w:name w:val="Plain Text"/>
    <w:basedOn w:val="Normal"/>
    <w:link w:val="PlainTextChar"/>
    <w:rsid w:val="00FE0D0E"/>
    <w:rPr>
      <w:sz w:val="20"/>
    </w:rPr>
  </w:style>
  <w:style w:type="character" w:customStyle="1" w:styleId="PlainTextChar">
    <w:name w:val="Plain Text Char"/>
    <w:basedOn w:val="DefaultParagraphFont"/>
    <w:link w:val="PlainText"/>
    <w:rsid w:val="00FE0D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0D0E"/>
    <w:rPr>
      <w:b/>
      <w:smallCaps/>
    </w:rPr>
  </w:style>
  <w:style w:type="paragraph" w:customStyle="1" w:styleId="TableListNumber">
    <w:name w:val="Table List Number"/>
    <w:basedOn w:val="ListNumber"/>
    <w:rsid w:val="00FE0D0E"/>
    <w:pPr>
      <w:numPr>
        <w:numId w:val="0"/>
      </w:numPr>
    </w:pPr>
  </w:style>
  <w:style w:type="paragraph" w:styleId="TOC4">
    <w:name w:val="toc 4"/>
    <w:basedOn w:val="TOCBase"/>
    <w:next w:val="Normal"/>
    <w:semiHidden/>
    <w:rsid w:val="00FE0D0E"/>
    <w:pPr>
      <w:tabs>
        <w:tab w:val="right" w:leader="dot" w:pos="9071"/>
      </w:tabs>
      <w:ind w:left="1701"/>
    </w:pPr>
  </w:style>
  <w:style w:type="paragraph" w:customStyle="1" w:styleId="ListAlpha">
    <w:name w:val="List Alpha"/>
    <w:basedOn w:val="List"/>
    <w:rsid w:val="00FE0D0E"/>
    <w:pPr>
      <w:numPr>
        <w:numId w:val="9"/>
      </w:numPr>
    </w:pPr>
  </w:style>
  <w:style w:type="paragraph" w:customStyle="1" w:styleId="ListAlpha2">
    <w:name w:val="List Alpha 2"/>
    <w:basedOn w:val="List2"/>
    <w:rsid w:val="00FE0D0E"/>
    <w:pPr>
      <w:numPr>
        <w:numId w:val="8"/>
      </w:numPr>
    </w:pPr>
  </w:style>
  <w:style w:type="paragraph" w:styleId="List2">
    <w:name w:val="List 2"/>
    <w:basedOn w:val="BodyText"/>
    <w:rsid w:val="00FE0D0E"/>
    <w:pPr>
      <w:tabs>
        <w:tab w:val="left" w:pos="680"/>
      </w:tabs>
      <w:spacing w:before="60" w:after="60"/>
      <w:ind w:left="680" w:hanging="340"/>
    </w:pPr>
  </w:style>
  <w:style w:type="paragraph" w:styleId="List3">
    <w:name w:val="List 3"/>
    <w:basedOn w:val="BodyText"/>
    <w:rsid w:val="00FE0D0E"/>
    <w:pPr>
      <w:tabs>
        <w:tab w:val="left" w:pos="1021"/>
      </w:tabs>
      <w:spacing w:before="60" w:after="60"/>
      <w:ind w:left="1020" w:hanging="340"/>
    </w:pPr>
  </w:style>
  <w:style w:type="paragraph" w:styleId="List4">
    <w:name w:val="List 4"/>
    <w:basedOn w:val="BodyText"/>
    <w:rsid w:val="00FE0D0E"/>
    <w:pPr>
      <w:tabs>
        <w:tab w:val="left" w:pos="1361"/>
      </w:tabs>
      <w:spacing w:before="60" w:after="60"/>
      <w:ind w:left="1361" w:hanging="340"/>
    </w:pPr>
  </w:style>
  <w:style w:type="paragraph" w:styleId="List5">
    <w:name w:val="List 5"/>
    <w:basedOn w:val="BodyText"/>
    <w:rsid w:val="00FE0D0E"/>
    <w:pPr>
      <w:tabs>
        <w:tab w:val="left" w:pos="1701"/>
      </w:tabs>
      <w:spacing w:before="60" w:after="60"/>
      <w:ind w:left="1701" w:hanging="340"/>
    </w:pPr>
  </w:style>
  <w:style w:type="paragraph" w:styleId="ListBullet3">
    <w:name w:val="List Bullet 3"/>
    <w:basedOn w:val="List3"/>
    <w:rsid w:val="00FE0D0E"/>
    <w:pPr>
      <w:numPr>
        <w:numId w:val="15"/>
      </w:numPr>
      <w:tabs>
        <w:tab w:val="clear" w:pos="1021"/>
      </w:tabs>
      <w:ind w:left="1037" w:hanging="357"/>
    </w:pPr>
  </w:style>
  <w:style w:type="paragraph" w:styleId="ListBullet4">
    <w:name w:val="List Bullet 4"/>
    <w:basedOn w:val="List4"/>
    <w:rsid w:val="00FE0D0E"/>
    <w:pPr>
      <w:numPr>
        <w:numId w:val="3"/>
      </w:numPr>
    </w:pPr>
  </w:style>
  <w:style w:type="paragraph" w:styleId="ListBullet5">
    <w:name w:val="List Bullet 5"/>
    <w:basedOn w:val="List5"/>
    <w:rsid w:val="00FE0D0E"/>
    <w:pPr>
      <w:numPr>
        <w:numId w:val="4"/>
      </w:numPr>
    </w:pPr>
  </w:style>
  <w:style w:type="paragraph" w:styleId="ListContinue2">
    <w:name w:val="List Continue 2"/>
    <w:basedOn w:val="List2"/>
    <w:rsid w:val="00FE0D0E"/>
    <w:pPr>
      <w:ind w:firstLine="0"/>
    </w:pPr>
  </w:style>
  <w:style w:type="paragraph" w:styleId="ListContinue3">
    <w:name w:val="List Continue 3"/>
    <w:basedOn w:val="List3"/>
    <w:rsid w:val="00FE0D0E"/>
    <w:pPr>
      <w:ind w:left="1021" w:firstLine="0"/>
    </w:pPr>
  </w:style>
  <w:style w:type="paragraph" w:styleId="ListContinue4">
    <w:name w:val="List Continue 4"/>
    <w:basedOn w:val="List4"/>
    <w:rsid w:val="00FE0D0E"/>
    <w:pPr>
      <w:ind w:firstLine="0"/>
    </w:pPr>
  </w:style>
  <w:style w:type="paragraph" w:styleId="ListContinue5">
    <w:name w:val="List Continue 5"/>
    <w:basedOn w:val="List5"/>
    <w:rsid w:val="00FE0D0E"/>
    <w:pPr>
      <w:ind w:firstLine="0"/>
    </w:pPr>
  </w:style>
  <w:style w:type="paragraph" w:styleId="ListNumber3">
    <w:name w:val="List Number 3"/>
    <w:basedOn w:val="List3"/>
    <w:rsid w:val="00FE0D0E"/>
    <w:pPr>
      <w:numPr>
        <w:numId w:val="5"/>
      </w:numPr>
    </w:pPr>
  </w:style>
  <w:style w:type="paragraph" w:styleId="ListNumber4">
    <w:name w:val="List Number 4"/>
    <w:basedOn w:val="List4"/>
    <w:rsid w:val="00FE0D0E"/>
    <w:pPr>
      <w:numPr>
        <w:numId w:val="6"/>
      </w:numPr>
    </w:pPr>
  </w:style>
  <w:style w:type="paragraph" w:styleId="ListNumber5">
    <w:name w:val="List Number 5"/>
    <w:basedOn w:val="List5"/>
    <w:rsid w:val="00FE0D0E"/>
    <w:pPr>
      <w:numPr>
        <w:numId w:val="7"/>
      </w:numPr>
    </w:pPr>
  </w:style>
  <w:style w:type="paragraph" w:styleId="BlockText">
    <w:name w:val="Block Text"/>
    <w:basedOn w:val="Normal"/>
    <w:rsid w:val="00FE0D0E"/>
    <w:pPr>
      <w:spacing w:after="120"/>
      <w:ind w:left="1440" w:right="1440"/>
    </w:pPr>
  </w:style>
  <w:style w:type="character" w:customStyle="1" w:styleId="Subscript">
    <w:name w:val="Subscript"/>
    <w:basedOn w:val="DefaultParagraphFont"/>
    <w:rsid w:val="00FE0D0E"/>
    <w:rPr>
      <w:sz w:val="16"/>
      <w:vertAlign w:val="subscript"/>
    </w:rPr>
  </w:style>
  <w:style w:type="character" w:customStyle="1" w:styleId="Superscript">
    <w:name w:val="Superscript"/>
    <w:basedOn w:val="DefaultParagraphFont"/>
    <w:rsid w:val="00FE0D0E"/>
    <w:rPr>
      <w:sz w:val="16"/>
      <w:vertAlign w:val="superscript"/>
    </w:rPr>
  </w:style>
  <w:style w:type="character" w:customStyle="1" w:styleId="Symbols">
    <w:name w:val="Symbols"/>
    <w:basedOn w:val="DefaultParagraphFont"/>
    <w:rsid w:val="00FE0D0E"/>
    <w:rPr>
      <w:rFonts w:ascii="Symbol" w:hAnsi="Symbol"/>
    </w:rPr>
  </w:style>
  <w:style w:type="character" w:customStyle="1" w:styleId="MenuOptions">
    <w:name w:val="Menu Options"/>
    <w:basedOn w:val="DefaultParagraphFont"/>
    <w:rsid w:val="00FE0D0E"/>
    <w:rPr>
      <w:rFonts w:ascii="Arial Narrow" w:hAnsi="Arial Narrow"/>
      <w:smallCaps/>
    </w:rPr>
  </w:style>
  <w:style w:type="character" w:customStyle="1" w:styleId="Buttons">
    <w:name w:val="Buttons"/>
    <w:basedOn w:val="DefaultParagraphFont"/>
    <w:rsid w:val="00FE0D0E"/>
    <w:rPr>
      <w:b/>
    </w:rPr>
  </w:style>
  <w:style w:type="character" w:customStyle="1" w:styleId="Underlined">
    <w:name w:val="Underlined"/>
    <w:basedOn w:val="DefaultParagraphFont"/>
    <w:rsid w:val="00FE0D0E"/>
    <w:rPr>
      <w:u w:val="single"/>
    </w:rPr>
  </w:style>
  <w:style w:type="paragraph" w:customStyle="1" w:styleId="TableBodyTextRight">
    <w:name w:val="Table Body Text Right"/>
    <w:basedOn w:val="TableBodyText"/>
    <w:rsid w:val="00FE0D0E"/>
    <w:pPr>
      <w:widowControl w:val="0"/>
      <w:autoSpaceDE w:val="0"/>
      <w:autoSpaceDN w:val="0"/>
      <w:adjustRightInd w:val="0"/>
      <w:jc w:val="right"/>
    </w:pPr>
    <w:rPr>
      <w:rFonts w:cs="Arial"/>
      <w:szCs w:val="18"/>
    </w:rPr>
  </w:style>
  <w:style w:type="paragraph" w:customStyle="1" w:styleId="CopyrightText">
    <w:name w:val="Copyright Text"/>
    <w:basedOn w:val="BodyText"/>
    <w:rsid w:val="00FE0D0E"/>
    <w:rPr>
      <w:sz w:val="18"/>
    </w:rPr>
  </w:style>
  <w:style w:type="paragraph" w:customStyle="1" w:styleId="BodySmallRight">
    <w:name w:val="Body Small Right"/>
    <w:basedOn w:val="BodyTextRight"/>
    <w:rsid w:val="00FE0D0E"/>
    <w:rPr>
      <w:sz w:val="18"/>
      <w:szCs w:val="18"/>
    </w:rPr>
  </w:style>
  <w:style w:type="paragraph" w:customStyle="1" w:styleId="MarginEdition">
    <w:name w:val="Margin Edition"/>
    <w:basedOn w:val="MarginNote"/>
    <w:rsid w:val="00FE0D0E"/>
    <w:pPr>
      <w:spacing w:before="0" w:after="0"/>
    </w:pPr>
    <w:rPr>
      <w:rFonts w:ascii="Times New Roman" w:hAnsi="Times New Roman"/>
      <w:color w:val="999999"/>
    </w:rPr>
  </w:style>
  <w:style w:type="paragraph" w:customStyle="1" w:styleId="Spacer">
    <w:name w:val="Spacer"/>
    <w:basedOn w:val="Normal"/>
    <w:rsid w:val="00FE0D0E"/>
    <w:rPr>
      <w:sz w:val="2"/>
      <w:szCs w:val="2"/>
    </w:rPr>
  </w:style>
  <w:style w:type="character" w:customStyle="1" w:styleId="Small">
    <w:name w:val="Small"/>
    <w:basedOn w:val="DefaultParagraphFont"/>
    <w:rsid w:val="00FE0D0E"/>
    <w:rPr>
      <w:sz w:val="16"/>
    </w:rPr>
  </w:style>
  <w:style w:type="paragraph" w:customStyle="1" w:styleId="WideTable">
    <w:name w:val="Wide Table"/>
    <w:basedOn w:val="Normal"/>
    <w:rsid w:val="00FE0D0E"/>
    <w:pPr>
      <w:ind w:left="-1418"/>
    </w:pPr>
    <w:rPr>
      <w:sz w:val="2"/>
      <w:szCs w:val="2"/>
    </w:rPr>
  </w:style>
  <w:style w:type="character" w:styleId="PageNumber">
    <w:name w:val="page number"/>
    <w:basedOn w:val="DefaultParagraphFont"/>
    <w:rsid w:val="00FE0D0E"/>
  </w:style>
  <w:style w:type="paragraph" w:styleId="Quote">
    <w:name w:val="Quote"/>
    <w:basedOn w:val="Heading1"/>
    <w:link w:val="QuoteChar"/>
    <w:qFormat/>
    <w:rsid w:val="00FE0D0E"/>
    <w:rPr>
      <w:b w:val="0"/>
      <w:sz w:val="72"/>
      <w:szCs w:val="72"/>
      <w:lang w:val="en-NZ"/>
    </w:rPr>
  </w:style>
  <w:style w:type="character" w:customStyle="1" w:styleId="QuoteChar">
    <w:name w:val="Quote Char"/>
    <w:basedOn w:val="DefaultParagraphFont"/>
    <w:link w:val="Quote"/>
    <w:rsid w:val="00FE0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D0E"/>
    <w:pPr>
      <w:pageBreakBefore/>
    </w:pPr>
  </w:style>
  <w:style w:type="paragraph" w:customStyle="1" w:styleId="Border">
    <w:name w:val="Border"/>
    <w:basedOn w:val="Normal"/>
    <w:qFormat/>
    <w:rsid w:val="00FE0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D0E"/>
    <w:rPr>
      <w:b/>
      <w:bCs/>
      <w:i/>
      <w:iCs/>
      <w:color w:val="auto"/>
    </w:rPr>
  </w:style>
  <w:style w:type="paragraph" w:styleId="IntenseQuote">
    <w:name w:val="Intense Quote"/>
    <w:basedOn w:val="Normal"/>
    <w:next w:val="Normal"/>
    <w:link w:val="IntenseQuoteChar"/>
    <w:uiPriority w:val="30"/>
    <w:qFormat/>
    <w:rsid w:val="00FE0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D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0D0E"/>
    <w:rPr>
      <w:smallCaps/>
      <w:color w:val="auto"/>
      <w:u w:val="single"/>
    </w:rPr>
  </w:style>
  <w:style w:type="character" w:styleId="IntenseReference">
    <w:name w:val="Intense Reference"/>
    <w:basedOn w:val="DefaultParagraphFont"/>
    <w:uiPriority w:val="32"/>
    <w:qFormat/>
    <w:rsid w:val="00FE0D0E"/>
    <w:rPr>
      <w:b/>
      <w:bCs/>
      <w:smallCaps/>
      <w:color w:val="auto"/>
      <w:spacing w:val="5"/>
      <w:u w:val="single"/>
    </w:rPr>
  </w:style>
  <w:style w:type="paragraph" w:customStyle="1" w:styleId="2ColumnHeading">
    <w:name w:val="2Column Heading"/>
    <w:basedOn w:val="BodyText"/>
    <w:qFormat/>
    <w:rsid w:val="00FE0D0E"/>
    <w:pPr>
      <w:spacing w:after="60"/>
      <w:ind w:left="-2268"/>
    </w:pPr>
    <w:rPr>
      <w:b/>
    </w:rPr>
  </w:style>
  <w:style w:type="paragraph" w:customStyle="1" w:styleId="Heading1TOC">
    <w:name w:val="Heading1 TOC"/>
    <w:basedOn w:val="Normal"/>
    <w:qFormat/>
    <w:rsid w:val="00FE0D0E"/>
    <w:pPr>
      <w:spacing w:before="240" w:after="120"/>
    </w:pPr>
    <w:rPr>
      <w:rFonts w:ascii="Times New Roman" w:hAnsi="Times New Roman"/>
      <w:b/>
      <w:sz w:val="32"/>
    </w:rPr>
  </w:style>
  <w:style w:type="paragraph" w:customStyle="1" w:styleId="Heading2TOC">
    <w:name w:val="Heading2 TOC"/>
    <w:basedOn w:val="Normal"/>
    <w:qFormat/>
    <w:rsid w:val="00FE0D0E"/>
    <w:pPr>
      <w:spacing w:before="240" w:after="60"/>
    </w:pPr>
    <w:rPr>
      <w:rFonts w:ascii="Times New Roman" w:hAnsi="Times New Roman"/>
      <w:b/>
      <w:sz w:val="28"/>
    </w:rPr>
  </w:style>
  <w:style w:type="character" w:customStyle="1" w:styleId="Underline">
    <w:name w:val="Underline"/>
    <w:basedOn w:val="DefaultParagraphFont"/>
    <w:qFormat/>
    <w:rsid w:val="00FE0D0E"/>
    <w:rPr>
      <w:u w:val="single"/>
    </w:rPr>
  </w:style>
  <w:style w:type="character" w:customStyle="1" w:styleId="BoldandItalics">
    <w:name w:val="Bold and Italics"/>
    <w:qFormat/>
    <w:rsid w:val="00FE0D0E"/>
    <w:rPr>
      <w:b/>
      <w:i/>
      <w:u w:val="none"/>
    </w:rPr>
  </w:style>
  <w:style w:type="paragraph" w:styleId="BalloonText">
    <w:name w:val="Balloon Text"/>
    <w:basedOn w:val="Normal"/>
    <w:link w:val="BalloonTextChar"/>
    <w:rsid w:val="00FE0D0E"/>
    <w:rPr>
      <w:rFonts w:ascii="Tahoma" w:hAnsi="Tahoma" w:cs="Tahoma"/>
      <w:sz w:val="16"/>
      <w:szCs w:val="16"/>
    </w:rPr>
  </w:style>
  <w:style w:type="character" w:customStyle="1" w:styleId="BalloonTextChar">
    <w:name w:val="Balloon Text Char"/>
    <w:basedOn w:val="DefaultParagraphFont"/>
    <w:link w:val="BalloonText"/>
    <w:rsid w:val="00FE0D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0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D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8199</Characters>
  <Application>Microsoft Office Word</Application>
  <DocSecurity>0</DocSecurity>
  <Lines>263</Lines>
  <Paragraphs>163</Paragraphs>
  <ScaleCrop>false</ScaleCrop>
  <Company>Author-it Software Corporation Ltd.</Company>
  <LinksUpToDate>false</LinksUpToDate>
  <CharactersWithSpaces>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FDFLAB2001A Perform basic analytical tests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2012-05-26T06:46:00Z</dcterms:created>
  <dcterms:modified xsi:type="dcterms:W3CDTF">2012-05-26T06:46:00Z</dcterms:modified>
</cp:coreProperties>
</file>