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5BD" w:rsidP="00CC55BD">
      <w:pPr>
        <w:pStyle w:val="Title"/>
      </w:pPr>
      <w:bookmarkStart w:id="0" w:name="_GoBack"/>
      <w:bookmarkEnd w:id="0"/>
      <w:r>
        <w:fldChar w:fldCharType="begin"/>
      </w:r>
      <w:r>
        <w:instrText xml:space="preserve"> TITLE   \* MERGEFORMAT </w:instrText>
      </w:r>
      <w:r>
        <w:fldChar w:fldCharType="separate"/>
      </w:r>
      <w:r>
        <w:t>FDFFST5007A Evaluate sampling plans in relation to food industry standards</w:t>
      </w:r>
      <w:r>
        <w:fldChar w:fldCharType="end"/>
      </w:r>
    </w:p>
    <w:p w:rsidR="00CC55BD" w:rsidP="00CC55BD">
      <w:pPr>
        <w:pStyle w:val="Version"/>
        <w:sectPr w:rsidSect="002D1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24D" w:rsidP="002D124D">
      <w:pPr>
        <w:pStyle w:val="SuperHeading"/>
      </w:pPr>
      <w:r w:rsidRPr="002D124D">
        <w:t>FDFFST5007A Evaluate sampling plans in relation to food industry standards</w:t>
      </w:r>
    </w:p>
    <w:p w:rsidR="00000000" w:rsidRPr="002D124D" w:rsidP="002D124D">
      <w:pPr>
        <w:pStyle w:val="Heading1"/>
      </w:pPr>
      <w:bookmarkStart w:id="1" w:name="O_445992"/>
      <w:bookmarkEnd w:id="1"/>
      <w:r w:rsidRPr="002D124D">
        <w:t>Modification History</w:t>
      </w:r>
    </w:p>
    <w:p w:rsidR="00000000" w:rsidRPr="002D124D" w:rsidP="002D124D">
      <w:pPr>
        <w:pStyle w:val="BodyText"/>
      </w:pPr>
      <w:r w:rsidRPr="002D124D">
        <w:t>April 2012: Minor typographical corrections.</w:t>
      </w:r>
    </w:p>
    <w:p w:rsidR="00000000" w:rsidRPr="002D124D" w:rsidP="002D124D">
      <w:pPr>
        <w:pStyle w:val="AllowPageBreak"/>
      </w:pPr>
    </w:p>
    <w:p w:rsidR="00000000" w:rsidRPr="002D124D" w:rsidP="002D124D">
      <w:pPr>
        <w:pStyle w:val="Heading1"/>
      </w:pPr>
      <w:bookmarkStart w:id="2" w:name="O_445988"/>
      <w:bookmarkEnd w:id="2"/>
      <w:r w:rsidRPr="002D124D">
        <w:t>Unit Descriptor</w:t>
      </w:r>
    </w:p>
    <w:p w:rsidR="00000000" w:rsidRPr="002D124D" w:rsidP="002D124D">
      <w:pPr>
        <w:pStyle w:val="BodyText"/>
      </w:pPr>
      <w:r w:rsidRPr="002D124D">
        <w:t>This unit covers the skills and knowledge required to interpret, apply and evaluate a sampling plan in relation to food industry standards.</w:t>
      </w:r>
    </w:p>
    <w:p w:rsidR="00000000" w:rsidRPr="002D124D" w:rsidP="002D124D">
      <w:pPr>
        <w:pStyle w:val="AllowPageBreak"/>
      </w:pPr>
    </w:p>
    <w:p w:rsidR="00000000" w:rsidRPr="002D124D" w:rsidP="002D124D">
      <w:pPr>
        <w:pStyle w:val="Heading1"/>
      </w:pPr>
      <w:bookmarkStart w:id="3" w:name="O_446000"/>
      <w:bookmarkEnd w:id="3"/>
      <w:r w:rsidRPr="002D124D">
        <w:t>Application of the Unit</w:t>
      </w:r>
    </w:p>
    <w:p w:rsidR="00000000" w:rsidRPr="002D124D" w:rsidP="002D124D">
      <w:pPr>
        <w:pStyle w:val="BodyText"/>
      </w:pPr>
      <w:r w:rsidRPr="002D124D">
        <w:t>This unit applies to food science and technology pe</w:t>
      </w:r>
      <w:r w:rsidRPr="002D124D">
        <w:t>rsonnel who have roles in product design, quality assurance and production management. The unit typically applies to staff who have responsibility for maintaining product safety, quality and efficiency in food production through the sampling and testing of</w:t>
      </w:r>
      <w:r w:rsidRPr="002D124D">
        <w:t xml:space="preserve"> ingredients and product. The unit can apply to all sectors of food production including general food production, meat and seafood industries. The unit includes using knowledge of food science and processes to determine the required food safety and quality</w:t>
      </w:r>
      <w:r w:rsidRPr="002D124D">
        <w:t xml:space="preserve"> parameters, and the product sampling regime required for testing that parameters and standards have been met. Depending on the workplace application, liaison may be required with engineering and maintenance specialists.</w:t>
      </w:r>
    </w:p>
    <w:p w:rsidR="00000000" w:rsidRPr="002D124D" w:rsidP="002D124D">
      <w:pPr>
        <w:pStyle w:val="AllowPageBreak"/>
      </w:pPr>
    </w:p>
    <w:p w:rsidR="00000000" w:rsidRPr="002D124D" w:rsidP="002D124D">
      <w:pPr>
        <w:pStyle w:val="Heading1"/>
      </w:pPr>
      <w:bookmarkStart w:id="4" w:name="O_445993"/>
      <w:bookmarkEnd w:id="4"/>
      <w:r w:rsidRPr="002D124D">
        <w:t>Licensing/Regulato</w:t>
      </w:r>
      <w:r w:rsidRPr="002D124D">
        <w:t>ry Information</w:t>
      </w:r>
    </w:p>
    <w:p w:rsidR="00000000" w:rsidRPr="002D124D" w:rsidP="002D124D">
      <w:pPr>
        <w:pStyle w:val="BodyText"/>
      </w:pPr>
      <w:r w:rsidRPr="002D124D">
        <w:t>Not applicable.</w:t>
      </w:r>
    </w:p>
    <w:p w:rsidR="00000000" w:rsidRPr="002D124D" w:rsidP="002D124D">
      <w:pPr>
        <w:pStyle w:val="AllowPageBreak"/>
      </w:pPr>
    </w:p>
    <w:p w:rsidR="00000000" w:rsidRPr="002D124D" w:rsidP="002D124D">
      <w:pPr>
        <w:pStyle w:val="Heading1"/>
      </w:pPr>
      <w:bookmarkStart w:id="5" w:name="O_445991"/>
      <w:bookmarkEnd w:id="5"/>
      <w:r w:rsidRPr="002D124D">
        <w:t>Pre-Requisites</w:t>
      </w:r>
    </w:p>
    <w:p w:rsidR="00000000" w:rsidRPr="002D124D" w:rsidP="002D124D">
      <w:pPr>
        <w:pStyle w:val="BodyText"/>
      </w:pPr>
      <w:r w:rsidRPr="002D124D">
        <w:t>Not applicable.</w:t>
      </w:r>
    </w:p>
    <w:p w:rsidR="00000000" w:rsidRPr="002D124D" w:rsidP="002D124D">
      <w:pPr>
        <w:pStyle w:val="AllowPageBreak"/>
      </w:pPr>
    </w:p>
    <w:p w:rsidR="00000000" w:rsidRPr="002D124D" w:rsidP="002D124D">
      <w:pPr>
        <w:pStyle w:val="Heading1"/>
      </w:pPr>
      <w:bookmarkStart w:id="6" w:name="O_445996"/>
      <w:bookmarkEnd w:id="6"/>
      <w:r w:rsidRPr="002D124D">
        <w:t>Employability Skills Information</w:t>
      </w:r>
    </w:p>
    <w:p w:rsidR="00000000" w:rsidRPr="002D124D" w:rsidP="002D124D">
      <w:pPr>
        <w:pStyle w:val="BodyText"/>
      </w:pPr>
      <w:r w:rsidRPr="002D124D">
        <w:t>This unit contains employability skills.</w:t>
      </w:r>
    </w:p>
    <w:p w:rsidR="00000000" w:rsidRPr="002D124D" w:rsidP="002D124D">
      <w:pPr>
        <w:pStyle w:val="AllowPageBreak"/>
      </w:pPr>
    </w:p>
    <w:p w:rsidR="00000000" w:rsidRPr="002D124D" w:rsidP="002D124D">
      <w:pPr>
        <w:pStyle w:val="Heading1"/>
      </w:pPr>
      <w:bookmarkStart w:id="7" w:name="O_445997"/>
      <w:bookmarkEnd w:id="7"/>
      <w:r w:rsidRPr="002D124D">
        <w:t>Elements and Performance Criteria Pre-Content</w:t>
      </w:r>
    </w:p>
    <w:tbl>
      <w:tblPr>
        <w:tblW w:w="9462" w:type="dxa"/>
        <w:tblLayout w:type="fixed"/>
        <w:tblCellMar>
          <w:left w:w="62" w:type="dxa"/>
          <w:right w:w="62" w:type="dxa"/>
        </w:tblCellMar>
        <w:tblLook w:val="0000"/>
      </w:tblPr>
      <w:tblGrid>
        <w:gridCol w:w="2700"/>
        <w:gridCol w:w="6762"/>
      </w:tblGrid>
      <w:tr w:rsidTr="002D12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124D">
            <w:pPr>
              <w:pStyle w:val="BodyText"/>
              <w:rPr>
                <w:lang w:val="en-NZ"/>
              </w:rPr>
            </w:pPr>
            <w:r w:rsidRPr="002D124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D124D" w:rsidP="002D124D">
            <w:pPr>
              <w:pStyle w:val="BodyText"/>
            </w:pPr>
            <w:r w:rsidRPr="002D124D">
              <w:t>Performance criteria describe the performance needed to demonstrate achievement of the element. Where bold italicised text is used, further information is detailed in the required skills and</w:t>
            </w:r>
            <w:r w:rsidRPr="002D124D">
              <w:t xml:space="preserve"> knowledge section and the range statement. Assessment of performance is to be consistent with the evidence guide.</w:t>
            </w:r>
          </w:p>
        </w:tc>
      </w:tr>
    </w:tbl>
    <w:p w:rsidR="00000000" w:rsidRPr="002D124D" w:rsidP="002D124D">
      <w:pPr>
        <w:pStyle w:val="BodyText"/>
      </w:pPr>
    </w:p>
    <w:p w:rsidR="00000000" w:rsidRPr="002D124D" w:rsidP="002D124D">
      <w:pPr>
        <w:pStyle w:val="AllowPageBreak"/>
      </w:pPr>
    </w:p>
    <w:p w:rsidR="00000000" w:rsidRPr="002D124D" w:rsidP="002D124D">
      <w:pPr>
        <w:pStyle w:val="Heading1"/>
      </w:pPr>
      <w:bookmarkStart w:id="8" w:name="O_445998"/>
      <w:bookmarkEnd w:id="8"/>
      <w:r w:rsidRPr="002D124D">
        <w:t>Elements and Performance Criteria</w:t>
      </w:r>
    </w:p>
    <w:tbl>
      <w:tblPr>
        <w:tblW w:w="9462" w:type="dxa"/>
        <w:tblLayout w:type="fixed"/>
        <w:tblCellMar>
          <w:left w:w="62" w:type="dxa"/>
          <w:right w:w="62" w:type="dxa"/>
        </w:tblCellMar>
        <w:tblLook w:val="0000"/>
      </w:tblPr>
      <w:tblGrid>
        <w:gridCol w:w="2700"/>
        <w:gridCol w:w="6762"/>
      </w:tblGrid>
      <w:tr w:rsidTr="002D124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D124D">
            <w:pPr>
              <w:pStyle w:val="TableHeading"/>
              <w:rPr>
                <w:lang w:val="en-NZ"/>
              </w:rPr>
            </w:pPr>
            <w:r w:rsidRPr="002D124D">
              <w:t>ELEMENT</w:t>
            </w:r>
          </w:p>
        </w:tc>
        <w:tc>
          <w:tcPr>
            <w:tcW w:w="6762" w:type="dxa"/>
            <w:tcBorders>
              <w:top w:val="nil"/>
              <w:left w:val="nil"/>
              <w:bottom w:val="nil"/>
              <w:right w:val="nil"/>
            </w:tcBorders>
            <w:tcMar>
              <w:top w:w="0" w:type="dxa"/>
              <w:left w:w="62" w:type="dxa"/>
              <w:bottom w:w="0" w:type="dxa"/>
              <w:right w:w="62" w:type="dxa"/>
            </w:tcMar>
          </w:tcPr>
          <w:p w:rsidR="00000000" w:rsidP="002D124D">
            <w:pPr>
              <w:pStyle w:val="TableHeading"/>
              <w:rPr>
                <w:lang w:val="en-NZ"/>
              </w:rPr>
            </w:pPr>
            <w:r w:rsidRPr="002D124D">
              <w:t>PERFORMANCE CRITERIA</w:t>
            </w:r>
          </w:p>
        </w:tc>
      </w:tr>
      <w:tr w:rsidTr="002D12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124D">
            <w:pPr>
              <w:pStyle w:val="List"/>
              <w:rPr>
                <w:lang w:val="en-NZ"/>
              </w:rPr>
            </w:pPr>
            <w:r w:rsidRPr="002D124D">
              <w:t>1.</w:t>
            </w:r>
            <w:r w:rsidRPr="002D124D">
              <w:tab/>
              <w:t>Identify the concept of sampling</w:t>
            </w:r>
          </w:p>
        </w:tc>
        <w:tc>
          <w:tcPr>
            <w:tcW w:w="6762" w:type="dxa"/>
            <w:tcBorders>
              <w:top w:val="nil"/>
              <w:left w:val="nil"/>
              <w:bottom w:val="nil"/>
              <w:right w:val="nil"/>
            </w:tcBorders>
            <w:tcMar>
              <w:top w:w="0" w:type="dxa"/>
              <w:left w:w="62" w:type="dxa"/>
              <w:bottom w:w="0" w:type="dxa"/>
              <w:right w:w="62" w:type="dxa"/>
            </w:tcMar>
          </w:tcPr>
          <w:p w:rsidR="00000000" w:rsidRPr="002D124D" w:rsidP="002D124D">
            <w:pPr>
              <w:pStyle w:val="List"/>
            </w:pPr>
            <w:r w:rsidRPr="002D124D">
              <w:t>1.1</w:t>
            </w:r>
            <w:r w:rsidRPr="002D124D">
              <w:tab/>
            </w:r>
            <w:r w:rsidRPr="002D124D">
              <w:t>The basis of selection of an appropriate sample size is established</w:t>
            </w:r>
          </w:p>
          <w:p w:rsidR="00000000" w:rsidRPr="002D124D" w:rsidP="002D124D">
            <w:pPr>
              <w:pStyle w:val="List"/>
            </w:pPr>
            <w:r w:rsidRPr="002D124D">
              <w:t>1.2</w:t>
            </w:r>
            <w:r w:rsidRPr="002D124D">
              <w:tab/>
              <w:t>The Acceptable Quality Level (AQL) is identified, in reference to sampling</w:t>
            </w:r>
          </w:p>
          <w:p w:rsidR="00000000" w:rsidRPr="002D124D" w:rsidP="002D124D">
            <w:pPr>
              <w:pStyle w:val="List"/>
            </w:pPr>
            <w:r w:rsidRPr="002D124D">
              <w:t>1.3</w:t>
            </w:r>
            <w:r w:rsidRPr="002D124D">
              <w:tab/>
              <w:t>The Operating Characteristic (OC) Curve is identified, in reference to sampling</w:t>
            </w:r>
          </w:p>
          <w:p w:rsidR="00000000" w:rsidRPr="002D124D" w:rsidP="002D124D">
            <w:pPr>
              <w:pStyle w:val="List"/>
            </w:pPr>
            <w:r w:rsidRPr="002D124D">
              <w:t>1.4</w:t>
            </w:r>
            <w:r w:rsidRPr="002D124D">
              <w:tab/>
              <w:t>Single/double samplin</w:t>
            </w:r>
            <w:r w:rsidRPr="002D124D">
              <w:t>g and its uses in the food manufacturing industry are assessed</w:t>
            </w:r>
          </w:p>
          <w:p w:rsidR="00000000" w:rsidP="002D124D">
            <w:pPr>
              <w:pStyle w:val="List"/>
              <w:rPr>
                <w:lang w:val="en-NZ"/>
              </w:rPr>
            </w:pPr>
            <w:r w:rsidRPr="002D124D">
              <w:t>1.5</w:t>
            </w:r>
            <w:r w:rsidRPr="002D124D">
              <w:tab/>
              <w:t>Sampling tables are interpreted.</w:t>
            </w:r>
          </w:p>
        </w:tc>
      </w:tr>
      <w:tr w:rsidTr="002D12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124D">
            <w:pPr>
              <w:pStyle w:val="List"/>
              <w:rPr>
                <w:lang w:val="en-NZ"/>
              </w:rPr>
            </w:pPr>
            <w:r w:rsidRPr="002D124D">
              <w:t>2.</w:t>
            </w:r>
            <w:r w:rsidRPr="002D124D">
              <w:tab/>
              <w:t>Interpret, apply and evaluate a sampling plan</w:t>
            </w:r>
          </w:p>
        </w:tc>
        <w:tc>
          <w:tcPr>
            <w:tcW w:w="6762" w:type="dxa"/>
            <w:tcBorders>
              <w:top w:val="nil"/>
              <w:left w:val="nil"/>
              <w:bottom w:val="nil"/>
              <w:right w:val="nil"/>
            </w:tcBorders>
            <w:tcMar>
              <w:top w:w="0" w:type="dxa"/>
              <w:left w:w="62" w:type="dxa"/>
              <w:bottom w:w="0" w:type="dxa"/>
              <w:right w:w="62" w:type="dxa"/>
            </w:tcMar>
          </w:tcPr>
          <w:p w:rsidR="00000000" w:rsidRPr="002D124D" w:rsidP="002D124D">
            <w:pPr>
              <w:pStyle w:val="List"/>
            </w:pPr>
            <w:r w:rsidRPr="002D124D">
              <w:t>2.1</w:t>
            </w:r>
            <w:r w:rsidRPr="002D124D">
              <w:tab/>
              <w:t>Appropriate sample size is identified.</w:t>
            </w:r>
          </w:p>
          <w:p w:rsidR="00000000" w:rsidRPr="002D124D" w:rsidP="002D124D">
            <w:pPr>
              <w:pStyle w:val="List"/>
            </w:pPr>
            <w:r w:rsidRPr="002D124D">
              <w:t>2.2</w:t>
            </w:r>
            <w:r w:rsidRPr="002D124D">
              <w:tab/>
              <w:t>Appropriate Acceptable Quality Limit (AQL) is identified</w:t>
            </w:r>
          </w:p>
          <w:p w:rsidR="00000000" w:rsidRPr="002D124D" w:rsidP="002D124D">
            <w:pPr>
              <w:pStyle w:val="List"/>
            </w:pPr>
            <w:r w:rsidRPr="002D124D">
              <w:t>2.</w:t>
            </w:r>
            <w:r w:rsidRPr="002D124D">
              <w:t>3</w:t>
            </w:r>
            <w:r w:rsidRPr="002D124D">
              <w:tab/>
              <w:t>Relevant sampling table is selected</w:t>
            </w:r>
          </w:p>
          <w:p w:rsidR="00000000" w:rsidRPr="002D124D" w:rsidP="002D124D">
            <w:pPr>
              <w:pStyle w:val="List"/>
            </w:pPr>
            <w:r w:rsidRPr="002D124D">
              <w:t>2.4</w:t>
            </w:r>
            <w:r w:rsidRPr="002D124D">
              <w:tab/>
              <w:t>Results are interpreted</w:t>
            </w:r>
          </w:p>
        </w:tc>
      </w:tr>
    </w:tbl>
    <w:p w:rsidR="00000000" w:rsidRPr="002D124D" w:rsidP="002D124D">
      <w:pPr>
        <w:pStyle w:val="BodyText"/>
      </w:pPr>
    </w:p>
    <w:p w:rsidR="00000000" w:rsidRPr="002D124D" w:rsidP="002D124D">
      <w:pPr>
        <w:pStyle w:val="AllowPageBreak"/>
      </w:pPr>
    </w:p>
    <w:p w:rsidR="00000000" w:rsidRPr="002D124D" w:rsidP="002D124D">
      <w:pPr>
        <w:pStyle w:val="Heading1"/>
      </w:pPr>
      <w:bookmarkStart w:id="9" w:name="O_445989"/>
      <w:bookmarkEnd w:id="9"/>
      <w:r w:rsidRPr="002D124D">
        <w:t>Required Skills and Knowledge</w:t>
      </w:r>
    </w:p>
    <w:tbl>
      <w:tblPr>
        <w:tblW w:w="9462" w:type="dxa"/>
        <w:tblLayout w:type="fixed"/>
        <w:tblCellMar>
          <w:left w:w="62" w:type="dxa"/>
          <w:right w:w="62" w:type="dxa"/>
        </w:tblCellMar>
        <w:tblLook w:val="0000"/>
      </w:tblPr>
      <w:tblGrid>
        <w:gridCol w:w="9462"/>
      </w:tblGrid>
      <w:tr w:rsidTr="002D12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24D">
            <w:pPr>
              <w:pStyle w:val="BodyText"/>
              <w:rPr>
                <w:lang w:val="en-NZ"/>
              </w:rPr>
            </w:pPr>
            <w:r w:rsidRPr="002D124D">
              <w:t>This section describes the skills and knowledge required for this unit.</w:t>
            </w:r>
          </w:p>
        </w:tc>
      </w:tr>
      <w:tr w:rsidTr="002D12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24D">
            <w:pPr>
              <w:pStyle w:val="BodyText"/>
              <w:rPr>
                <w:lang w:val="en-NZ"/>
              </w:rPr>
            </w:pPr>
            <w:r w:rsidRPr="002D124D">
              <w:rPr>
                <w:rStyle w:val="SpecialBold"/>
              </w:rPr>
              <w:t>Required skills include:</w:t>
            </w:r>
          </w:p>
        </w:tc>
      </w:tr>
      <w:tr w:rsidTr="002D12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124D" w:rsidP="002D124D">
            <w:pPr>
              <w:pStyle w:val="BodyText"/>
            </w:pPr>
            <w:r w:rsidRPr="002D124D">
              <w:rPr>
                <w:rStyle w:val="SpecialBold"/>
              </w:rPr>
              <w:t>Ability to:</w:t>
            </w:r>
          </w:p>
          <w:p w:rsidR="00000000" w:rsidRPr="002D124D" w:rsidP="002D124D">
            <w:pPr>
              <w:pStyle w:val="ListBullet"/>
            </w:pPr>
            <w:r w:rsidRPr="002D124D">
              <w:t>establish the basis of selection of an appropriate sample size</w:t>
            </w:r>
          </w:p>
          <w:p w:rsidR="00000000" w:rsidRPr="002D124D" w:rsidP="002D124D">
            <w:pPr>
              <w:pStyle w:val="ListBullet"/>
            </w:pPr>
            <w:r w:rsidRPr="002D124D">
              <w:t>identify the Acceptable Quality Level (AQL) and the Operating Characteristic (OC) Curve</w:t>
            </w:r>
          </w:p>
          <w:p w:rsidR="00000000" w:rsidRPr="002D124D" w:rsidP="002D124D">
            <w:pPr>
              <w:pStyle w:val="ListBullet"/>
            </w:pPr>
            <w:r w:rsidRPr="002D124D">
              <w:t>assess single and double sampling and their uses in the food manufacturing industry</w:t>
            </w:r>
          </w:p>
          <w:p w:rsidR="00000000" w:rsidP="002D124D">
            <w:pPr>
              <w:pStyle w:val="ListBullet"/>
              <w:rPr>
                <w:lang w:val="en-NZ"/>
              </w:rPr>
            </w:pPr>
            <w:r w:rsidRPr="002D124D">
              <w:t xml:space="preserve">interpret, apply and </w:t>
            </w:r>
            <w:r w:rsidRPr="002D124D">
              <w:t>evaluate a sampling plan.</w:t>
            </w:r>
          </w:p>
        </w:tc>
      </w:tr>
      <w:tr w:rsidTr="002D12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24D">
            <w:pPr>
              <w:pStyle w:val="BodyText"/>
              <w:rPr>
                <w:lang w:val="en-NZ"/>
              </w:rPr>
            </w:pPr>
            <w:r w:rsidRPr="002D124D">
              <w:rPr>
                <w:rStyle w:val="SpecialBold"/>
              </w:rPr>
              <w:t>Required knowledge includes:</w:t>
            </w:r>
          </w:p>
        </w:tc>
      </w:tr>
      <w:tr w:rsidTr="002D12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124D" w:rsidP="002D124D">
            <w:pPr>
              <w:pStyle w:val="BodyText"/>
            </w:pPr>
            <w:r w:rsidRPr="002D124D">
              <w:rPr>
                <w:rStyle w:val="SpecialBold"/>
              </w:rPr>
              <w:t>Knowledge of:</w:t>
            </w:r>
          </w:p>
          <w:p w:rsidR="00000000" w:rsidRPr="002D124D" w:rsidP="002D124D">
            <w:pPr>
              <w:pStyle w:val="ListBullet"/>
            </w:pPr>
            <w:r w:rsidRPr="002D124D">
              <w:t>acceptable Quality Limits</w:t>
            </w:r>
          </w:p>
          <w:p w:rsidR="00000000" w:rsidRPr="002D124D" w:rsidP="002D124D">
            <w:pPr>
              <w:pStyle w:val="ListBullet"/>
            </w:pPr>
            <w:r w:rsidRPr="002D124D">
              <w:t>operating Characteristics Curve</w:t>
            </w:r>
          </w:p>
          <w:p w:rsidR="00000000" w:rsidRPr="002D124D" w:rsidP="002D124D">
            <w:pPr>
              <w:pStyle w:val="ListBullet"/>
            </w:pPr>
            <w:r w:rsidRPr="002D124D">
              <w:t>single, double, sequential and multiple sampling plans</w:t>
            </w:r>
          </w:p>
          <w:p w:rsidR="00000000" w:rsidRPr="002D124D" w:rsidP="002D124D">
            <w:pPr>
              <w:pStyle w:val="ListBullet"/>
            </w:pPr>
            <w:r w:rsidRPr="002D124D">
              <w:t>sampling tables.</w:t>
            </w:r>
          </w:p>
        </w:tc>
      </w:tr>
    </w:tbl>
    <w:p w:rsidR="00000000" w:rsidRPr="002D124D" w:rsidP="002D124D">
      <w:pPr>
        <w:pStyle w:val="BodyText"/>
      </w:pPr>
    </w:p>
    <w:p w:rsidR="00000000" w:rsidRPr="002D124D" w:rsidP="002D124D">
      <w:pPr>
        <w:pStyle w:val="AllowPageBreak"/>
      </w:pPr>
    </w:p>
    <w:p w:rsidR="00000000" w:rsidRPr="002D124D" w:rsidP="002D124D">
      <w:pPr>
        <w:pStyle w:val="Heading1"/>
      </w:pPr>
      <w:bookmarkStart w:id="10" w:name="O_445995"/>
      <w:bookmarkEnd w:id="10"/>
      <w:r w:rsidRPr="002D124D">
        <w:t>Evidence Guide</w:t>
      </w:r>
    </w:p>
    <w:tbl>
      <w:tblPr>
        <w:tblW w:w="9462" w:type="dxa"/>
        <w:tblLayout w:type="fixed"/>
        <w:tblCellMar>
          <w:left w:w="62" w:type="dxa"/>
          <w:right w:w="62" w:type="dxa"/>
        </w:tblCellMar>
        <w:tblLook w:val="0000"/>
      </w:tblPr>
      <w:tblGrid>
        <w:gridCol w:w="3800"/>
        <w:gridCol w:w="5662"/>
      </w:tblGrid>
      <w:tr w:rsidTr="002D124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The evidence guide provides advice on assessment and must be read in conjunction with the performance criteria, required skills and knowledge, range statement and the Assessment Guidelines for the Training Package.</w:t>
            </w:r>
          </w:p>
        </w:tc>
      </w:tr>
      <w:tr w:rsidTr="002D124D">
        <w:tblPrEx>
          <w:tblW w:w="9462" w:type="dxa"/>
          <w:tblLayout w:type="fixed"/>
          <w:tblCellMar>
            <w:left w:w="62" w:type="dxa"/>
            <w:right w:w="62" w:type="dxa"/>
          </w:tblCellMar>
          <w:tblLook w:val="0000"/>
        </w:tblPrEx>
        <w:trPr>
          <w:trHeight w:val="86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A person who dem</w:t>
            </w:r>
            <w:r w:rsidRPr="002D124D">
              <w:t>onstrates competency in this unit must be able to interpret a sampling plan as part of quality processes in food production.</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Critical aspects of assessment must include evidence of the ability to establish an appropriate sample size interpret sampling tables and analyse the results of sampling.</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4D" w:rsidP="002D124D">
            <w:pPr>
              <w:pStyle w:val="BodyText"/>
            </w:pPr>
            <w:r w:rsidRPr="002D124D">
              <w:t>Assessment of performance requireme</w:t>
            </w:r>
            <w:r w:rsidRPr="002D124D">
              <w:t>nts in this unit should be undertaken within the context of food technology. Competency is demonstrated by performance of all stated criteria, including the critical aspects and knowledge and skills elaborated in the Evidence Guide, and within the scope as</w:t>
            </w:r>
            <w:r w:rsidRPr="002D124D">
              <w:t xml:space="preserve"> defined by the Range Statements applicable to the workplace environment.</w:t>
            </w:r>
          </w:p>
          <w:p w:rsidR="00000000" w:rsidRPr="002D124D" w:rsidP="002D124D">
            <w:pPr>
              <w:pStyle w:val="BodyText"/>
            </w:pPr>
            <w:r w:rsidRPr="002D124D">
              <w:t>Assessment must occur in a real or simulated workplace where the assessee has access to:</w:t>
            </w:r>
          </w:p>
          <w:p w:rsidR="00000000" w:rsidRPr="002D124D" w:rsidP="002D124D">
            <w:pPr>
              <w:pStyle w:val="ListBullet"/>
            </w:pPr>
            <w:r w:rsidRPr="002D124D">
              <w:t>Production process and related equipment, manufacturers’ advice and operating procedures</w:t>
            </w:r>
          </w:p>
          <w:p w:rsidR="00000000" w:rsidRPr="002D124D" w:rsidP="002D124D">
            <w:pPr>
              <w:pStyle w:val="ListBullet"/>
            </w:pPr>
            <w:r w:rsidRPr="002D124D">
              <w:t>Meth</w:t>
            </w:r>
            <w:r w:rsidRPr="002D124D">
              <w:t>ods and related software systems as required for collecting data and calculating yields, efficiencies and material variances appropriate to production environment</w:t>
            </w:r>
          </w:p>
          <w:p w:rsidR="00000000" w:rsidP="002D124D">
            <w:pPr>
              <w:pStyle w:val="ListBullet"/>
              <w:rPr>
                <w:lang w:val="en-NZ"/>
              </w:rPr>
            </w:pPr>
            <w:r w:rsidRPr="002D124D">
              <w:t>Tests used to report relevant product/process information and recorded results.</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Method of as</w:t>
            </w:r>
            <w:r w:rsidRPr="002D124D">
              <w:t>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4D" w:rsidP="002D124D">
            <w:pPr>
              <w:pStyle w:val="BodyText"/>
            </w:pPr>
            <w:r w:rsidRPr="002D124D">
              <w:t>The following assessment methods are suggested:</w:t>
            </w:r>
          </w:p>
          <w:p w:rsidR="00000000" w:rsidRPr="002D124D" w:rsidP="002D124D">
            <w:pPr>
              <w:pStyle w:val="ListBullet"/>
            </w:pPr>
            <w:r w:rsidRPr="002D124D">
              <w:t>Written and/or oral questioning to assess knowledge and understanding</w:t>
            </w:r>
          </w:p>
          <w:p w:rsidR="00000000" w:rsidRPr="002D124D" w:rsidP="002D124D">
            <w:pPr>
              <w:pStyle w:val="ListBullet"/>
            </w:pPr>
            <w:r w:rsidRPr="002D124D">
              <w:t>Completing workplace documentation for a sampling plan</w:t>
            </w:r>
          </w:p>
          <w:p w:rsidR="00000000" w:rsidRPr="002D124D" w:rsidP="002D124D">
            <w:pPr>
              <w:pStyle w:val="ListBullet"/>
            </w:pPr>
            <w:r w:rsidRPr="002D124D">
              <w:t>Third party reports from experienced practitioner</w:t>
            </w:r>
          </w:p>
          <w:p w:rsidR="00000000" w:rsidRPr="002D124D" w:rsidP="002D124D">
            <w:pPr>
              <w:pStyle w:val="ListBullet"/>
            </w:pPr>
            <w:r w:rsidRPr="002D124D">
              <w:t>Case studies</w:t>
            </w:r>
          </w:p>
          <w:p w:rsidR="00000000" w:rsidRPr="002D124D" w:rsidP="002D124D">
            <w:pPr>
              <w:pStyle w:val="ListBullet"/>
            </w:pPr>
            <w:r w:rsidRPr="002D124D">
              <w:t>Field Repor</w:t>
            </w:r>
            <w:r w:rsidRPr="002D124D">
              <w:t>ts</w:t>
            </w:r>
          </w:p>
          <w:p w:rsidR="00000000" w:rsidP="002D124D">
            <w:pPr>
              <w:pStyle w:val="ListBullet"/>
              <w:rPr>
                <w:lang w:val="en-NZ"/>
              </w:rPr>
            </w:pPr>
            <w:r w:rsidRPr="002D124D">
              <w:t>Observation of candidate conducting a range of tests and procedures.</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4D" w:rsidP="002D124D">
            <w:pPr>
              <w:pStyle w:val="BodyText"/>
            </w:pPr>
            <w:r w:rsidRPr="002D124D">
              <w:t xml:space="preserve">Evidence should be gathered over a period of time in a </w:t>
            </w:r>
            <w:r w:rsidRPr="002D124D">
              <w:t>range of actual or simulated environments.</w:t>
            </w:r>
          </w:p>
        </w:tc>
      </w:tr>
    </w:tbl>
    <w:p w:rsidR="00CC55BD" w:rsidP="002D124D">
      <w:pPr>
        <w:pStyle w:val="BodyText"/>
      </w:pPr>
    </w:p>
    <w:p w:rsidR="00CC55BD" w:rsidP="002D124D">
      <w:pPr>
        <w:pStyle w:val="BodyText"/>
      </w:pPr>
    </w:p>
    <w:p w:rsidR="00000000" w:rsidRPr="002D124D" w:rsidP="002D124D">
      <w:pPr>
        <w:pStyle w:val="Heading1"/>
      </w:pPr>
      <w:bookmarkStart w:id="11" w:name="O_445990"/>
      <w:bookmarkEnd w:id="11"/>
      <w:r w:rsidRPr="002D124D">
        <w:t>Range Statement</w:t>
      </w:r>
    </w:p>
    <w:tbl>
      <w:tblPr>
        <w:tblW w:w="9462" w:type="dxa"/>
        <w:tblLayout w:type="fixed"/>
        <w:tblCellMar>
          <w:left w:w="62" w:type="dxa"/>
          <w:right w:w="62" w:type="dxa"/>
        </w:tblCellMar>
        <w:tblLook w:val="0000"/>
      </w:tblPr>
      <w:tblGrid>
        <w:gridCol w:w="3800"/>
        <w:gridCol w:w="5662"/>
      </w:tblGrid>
      <w:tr w:rsidTr="002D124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24D">
            <w:pPr>
              <w:pStyle w:val="TableHeading"/>
              <w:rPr>
                <w:lang w:val="en-NZ"/>
              </w:rPr>
            </w:pPr>
            <w:r w:rsidRPr="002D124D">
              <w:t>RANGE STATEMENT</w:t>
            </w:r>
          </w:p>
        </w:tc>
      </w:tr>
      <w:tr w:rsidTr="002D124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The range statement relates to the unit of competency as a whole. It allows for different work environments and situations that may affect performance. Bold italicised wording, if used in the performance criteria, is detailed below. Essen</w:t>
            </w:r>
            <w:r w:rsidRPr="002D124D">
              <w:t>tial operating conditions that may be present with training and assessment (depending on the work situation, needs of the candidate, accessibility of the item, and local industry and regional contexts) may also be included.</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4D" w:rsidP="002D124D">
            <w:pPr>
              <w:pStyle w:val="ListBullet"/>
            </w:pPr>
            <w:r w:rsidRPr="002D124D">
              <w:t>Australian and international standards</w:t>
            </w:r>
          </w:p>
          <w:p w:rsidR="00000000" w:rsidRPr="002D124D" w:rsidP="002D124D">
            <w:pPr>
              <w:pStyle w:val="ListBullet"/>
            </w:pPr>
            <w:r w:rsidRPr="002D124D">
              <w:t>Acts of Parliament</w:t>
            </w:r>
          </w:p>
          <w:p w:rsidR="00000000" w:rsidP="002D124D">
            <w:pPr>
              <w:pStyle w:val="ListBullet"/>
              <w:rPr>
                <w:lang w:val="en-NZ"/>
              </w:rPr>
            </w:pPr>
            <w:r w:rsidRPr="002D124D">
              <w:t>Legislative requirements are typically reflected in procedures and specifications. Legislation relevant to this industry includes the Food Standards Code including labelling, weights and measures le</w:t>
            </w:r>
            <w:r w:rsidRPr="002D124D">
              <w:t>gislation and legislation covering food safety, environmental management, occupational health and safety, anti-discrimination and equal opportunity.</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rPr>
                <w:rStyle w:val="SpecialBold"/>
              </w:rPr>
              <w:t>Sampling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t>Sampling requirements may include a range of sampling plans which apply to organisat</w:t>
            </w:r>
            <w:r w:rsidRPr="002D124D">
              <w:t>ional, plant or field sites; different products or materials; a range of sampling points.</w:t>
            </w:r>
          </w:p>
        </w:tc>
      </w:tr>
      <w:tr w:rsidTr="002D12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4D">
            <w:pPr>
              <w:pStyle w:val="BodyText"/>
              <w:rPr>
                <w:lang w:val="en-NZ"/>
              </w:rPr>
            </w:pPr>
            <w:r w:rsidRPr="002D124D">
              <w:rPr>
                <w:rStyle w:val="SpecialBold"/>
              </w:rPr>
              <w:t>Sampling tools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4D" w:rsidP="002D124D">
            <w:pPr>
              <w:pStyle w:val="BodyText"/>
            </w:pPr>
            <w:r w:rsidRPr="002D124D">
              <w:t>Sampling tools and equipment may include personal protective equipment, sampling frames, sampling tubes, weighted sample bottles, variet</w:t>
            </w:r>
            <w:r w:rsidRPr="002D124D">
              <w:t>y of sterile containers, preservatives, automatic samplers, timers, refrigerated samples, composite and discrete samplers.</w:t>
            </w:r>
          </w:p>
        </w:tc>
      </w:tr>
    </w:tbl>
    <w:p w:rsidR="00000000" w:rsidRPr="002D124D" w:rsidP="002D124D">
      <w:pPr>
        <w:pStyle w:val="BodyText"/>
      </w:pPr>
    </w:p>
    <w:p w:rsidR="00000000" w:rsidRPr="002D124D" w:rsidP="002D124D">
      <w:pPr>
        <w:pStyle w:val="AllowPageBreak"/>
      </w:pPr>
    </w:p>
    <w:p w:rsidR="00000000" w:rsidRPr="002D124D" w:rsidP="002D124D">
      <w:pPr>
        <w:pStyle w:val="Heading1"/>
      </w:pPr>
      <w:bookmarkStart w:id="12" w:name="O_445987"/>
      <w:bookmarkEnd w:id="12"/>
      <w:r w:rsidRPr="002D124D">
        <w:t>Unit Sector(s)</w:t>
      </w:r>
    </w:p>
    <w:p w:rsidR="00000000" w:rsidRPr="002D124D" w:rsidP="002D124D">
      <w:pPr>
        <w:pStyle w:val="BodyText"/>
      </w:pPr>
      <w:r w:rsidRPr="002D124D">
        <w:t>Technical.</w:t>
      </w:r>
    </w:p>
    <w:p w:rsidR="00000000" w:rsidRPr="002D124D" w:rsidP="002D124D"/>
    <w:sectPr w:rsidSect="002D1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5BD" w:rsidP="00CC55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BD" w:rsidP="002D12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55BD" w:rsidP="002D1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55BD" w:rsidP="002D1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4D" w:rsidRPr="00CC55BD" w:rsidP="00CC55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BD" w:rsidRPr="002D2AF8" w:rsidP="002D124D">
    <w:pPr>
      <w:pStyle w:val="Header"/>
      <w:framePr w:wrap="around"/>
    </w:pPr>
    <w:r>
      <w:fldChar w:fldCharType="begin"/>
    </w:r>
    <w:r>
      <w:instrText xml:space="preserve"> TITLE   \* MERGEFORMAT </w:instrText>
    </w:r>
    <w:r>
      <w:fldChar w:fldCharType="separate"/>
    </w:r>
    <w:r>
      <w:t>FDFFST5007A Evaluate sampling plans in relation to food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55BD" w:rsidP="002D1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B6C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24D"/>
    <w:pPr>
      <w:spacing w:before="360" w:after="60"/>
      <w:outlineLvl w:val="0"/>
    </w:pPr>
    <w:rPr>
      <w:sz w:val="32"/>
    </w:rPr>
  </w:style>
  <w:style w:type="paragraph" w:styleId="Heading2">
    <w:name w:val="heading 2"/>
    <w:basedOn w:val="HeadingBase"/>
    <w:next w:val="BodyText"/>
    <w:link w:val="Heading2Char"/>
    <w:qFormat/>
    <w:rsid w:val="002D124D"/>
    <w:pPr>
      <w:keepLines/>
      <w:spacing w:before="240" w:after="120"/>
      <w:outlineLvl w:val="1"/>
    </w:pPr>
    <w:rPr>
      <w:sz w:val="28"/>
      <w:szCs w:val="40"/>
    </w:rPr>
  </w:style>
  <w:style w:type="paragraph" w:styleId="Heading3">
    <w:name w:val="heading 3"/>
    <w:basedOn w:val="HeadingBase"/>
    <w:next w:val="BodyText"/>
    <w:link w:val="Heading3Char"/>
    <w:qFormat/>
    <w:rsid w:val="002D124D"/>
    <w:pPr>
      <w:spacing w:before="180" w:after="120"/>
      <w:outlineLvl w:val="2"/>
    </w:pPr>
    <w:rPr>
      <w:spacing w:val="-10"/>
      <w:kern w:val="32"/>
    </w:rPr>
  </w:style>
  <w:style w:type="paragraph" w:styleId="Heading4">
    <w:name w:val="heading 4"/>
    <w:basedOn w:val="HeadingBase"/>
    <w:next w:val="BodyText"/>
    <w:link w:val="Heading4Char"/>
    <w:qFormat/>
    <w:rsid w:val="002D124D"/>
    <w:pPr>
      <w:spacing w:before="160" w:after="120"/>
      <w:outlineLvl w:val="3"/>
    </w:pPr>
    <w:rPr>
      <w:sz w:val="22"/>
    </w:rPr>
  </w:style>
  <w:style w:type="paragraph" w:styleId="Heading5">
    <w:name w:val="heading 5"/>
    <w:basedOn w:val="HeadingBase"/>
    <w:next w:val="Normal"/>
    <w:link w:val="Heading5Char"/>
    <w:qFormat/>
    <w:rsid w:val="002D124D"/>
    <w:pPr>
      <w:spacing w:before="80"/>
      <w:outlineLvl w:val="4"/>
    </w:pPr>
    <w:rPr>
      <w:color w:val="918585"/>
      <w:sz w:val="20"/>
    </w:rPr>
  </w:style>
  <w:style w:type="paragraph" w:styleId="Heading6">
    <w:name w:val="heading 6"/>
    <w:basedOn w:val="HeadingBase"/>
    <w:next w:val="Normal"/>
    <w:link w:val="Heading6Char"/>
    <w:qFormat/>
    <w:rsid w:val="002D124D"/>
    <w:pPr>
      <w:spacing w:before="60"/>
      <w:outlineLvl w:val="5"/>
    </w:pPr>
    <w:rPr>
      <w:color w:val="918585"/>
      <w:sz w:val="20"/>
    </w:rPr>
  </w:style>
  <w:style w:type="paragraph" w:styleId="Heading7">
    <w:name w:val="heading 7"/>
    <w:basedOn w:val="Normal"/>
    <w:next w:val="Normal"/>
    <w:link w:val="Heading7Char"/>
    <w:qFormat/>
    <w:rsid w:val="002D124D"/>
    <w:pPr>
      <w:ind w:left="720"/>
      <w:outlineLvl w:val="6"/>
    </w:pPr>
    <w:rPr>
      <w:i/>
    </w:rPr>
  </w:style>
  <w:style w:type="paragraph" w:styleId="Heading8">
    <w:name w:val="heading 8"/>
    <w:basedOn w:val="Normal"/>
    <w:next w:val="Normal"/>
    <w:link w:val="Heading8Char"/>
    <w:qFormat/>
    <w:rsid w:val="002D124D"/>
    <w:pPr>
      <w:ind w:left="720"/>
      <w:outlineLvl w:val="7"/>
    </w:pPr>
    <w:rPr>
      <w:i/>
    </w:rPr>
  </w:style>
  <w:style w:type="paragraph" w:styleId="Heading9">
    <w:name w:val="heading 9"/>
    <w:basedOn w:val="Normal"/>
    <w:next w:val="Normal"/>
    <w:link w:val="Heading9Char"/>
    <w:qFormat/>
    <w:rsid w:val="002D124D"/>
    <w:pPr>
      <w:ind w:left="720"/>
      <w:outlineLvl w:val="8"/>
    </w:pPr>
    <w:rPr>
      <w:i/>
    </w:rPr>
  </w:style>
  <w:style w:type="character" w:default="1" w:styleId="DefaultParagraphFont">
    <w:name w:val="Default Paragraph Font"/>
    <w:uiPriority w:val="1"/>
    <w:unhideWhenUsed/>
    <w:rsid w:val="002D1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24D"/>
  </w:style>
  <w:style w:type="character" w:customStyle="1" w:styleId="Heading1Char">
    <w:name w:val="Heading 1 Char"/>
    <w:basedOn w:val="DefaultParagraphFont"/>
    <w:link w:val="Heading1"/>
    <w:rsid w:val="002D124D"/>
    <w:rPr>
      <w:rFonts w:ascii="Times New Roman" w:eastAsia="Times New Roman" w:hAnsi="Times New Roman" w:cs="Times New Roman"/>
      <w:b/>
      <w:sz w:val="32"/>
      <w:szCs w:val="20"/>
      <w:lang w:eastAsia="en-US"/>
    </w:rPr>
  </w:style>
  <w:style w:type="paragraph" w:styleId="BodyText">
    <w:name w:val="Body Text"/>
    <w:basedOn w:val="Normal"/>
    <w:link w:val="BodyTextChar"/>
    <w:rsid w:val="002D1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24D"/>
    <w:rPr>
      <w:rFonts w:ascii="Times New Roman" w:eastAsia="Times New Roman" w:hAnsi="Times New Roman" w:cs="Times New Roman"/>
      <w:sz w:val="24"/>
      <w:lang w:eastAsia="en-US"/>
    </w:rPr>
  </w:style>
  <w:style w:type="paragraph" w:styleId="Footer">
    <w:name w:val="footer"/>
    <w:basedOn w:val="Normal"/>
    <w:link w:val="FooterChar"/>
    <w:rsid w:val="002D1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24D"/>
    <w:rPr>
      <w:rFonts w:ascii="Times New Roman" w:eastAsia="Times New Roman" w:hAnsi="Times New Roman" w:cs="Times New Roman"/>
      <w:sz w:val="16"/>
      <w:lang w:eastAsia="en-US"/>
    </w:rPr>
  </w:style>
  <w:style w:type="paragraph" w:styleId="List">
    <w:name w:val="List"/>
    <w:basedOn w:val="BodyText"/>
    <w:next w:val="BodyText"/>
    <w:rsid w:val="002D124D"/>
    <w:pPr>
      <w:tabs>
        <w:tab w:val="left" w:pos="340"/>
      </w:tabs>
      <w:spacing w:before="60" w:after="60"/>
      <w:ind w:left="340" w:hanging="340"/>
    </w:pPr>
  </w:style>
  <w:style w:type="paragraph" w:styleId="ListBullet">
    <w:name w:val="List Bullet"/>
    <w:basedOn w:val="List"/>
    <w:rsid w:val="002D124D"/>
    <w:pPr>
      <w:numPr>
        <w:numId w:val="12"/>
      </w:numPr>
      <w:tabs>
        <w:tab w:val="clear" w:pos="340"/>
      </w:tabs>
      <w:spacing w:before="40" w:after="40"/>
    </w:pPr>
  </w:style>
  <w:style w:type="character" w:customStyle="1" w:styleId="SpecialBold">
    <w:name w:val="Special Bold"/>
    <w:basedOn w:val="DefaultParagraphFont"/>
    <w:rsid w:val="002D124D"/>
    <w:rPr>
      <w:b/>
      <w:spacing w:val="0"/>
    </w:rPr>
  </w:style>
  <w:style w:type="paragraph" w:customStyle="1" w:styleId="SuperHeading">
    <w:name w:val="SuperHeading"/>
    <w:basedOn w:val="Normal"/>
    <w:rsid w:val="002D124D"/>
    <w:pPr>
      <w:spacing w:before="240" w:after="120"/>
      <w:outlineLvl w:val="0"/>
    </w:pPr>
    <w:rPr>
      <w:rFonts w:ascii="Times New Roman" w:hAnsi="Times New Roman"/>
      <w:b/>
      <w:sz w:val="28"/>
    </w:rPr>
  </w:style>
  <w:style w:type="paragraph" w:customStyle="1" w:styleId="TableHeading">
    <w:name w:val="Table Heading"/>
    <w:basedOn w:val="HeadingBase"/>
    <w:rsid w:val="002D124D"/>
    <w:pPr>
      <w:keepLines/>
      <w:pBdr>
        <w:bottom w:val="single" w:sz="6" w:space="1" w:color="918585"/>
      </w:pBdr>
      <w:spacing w:before="240"/>
    </w:pPr>
  </w:style>
  <w:style w:type="paragraph" w:customStyle="1" w:styleId="AllowPageBreak">
    <w:name w:val="AllowPageBreak"/>
    <w:rsid w:val="002D1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24D"/>
    <w:rPr>
      <w:rFonts w:ascii="Courier New" w:eastAsia="Times New Roman" w:hAnsi="Courier New" w:cs="Times New Roman"/>
      <w:i/>
      <w:szCs w:val="20"/>
      <w:lang w:eastAsia="en-US"/>
    </w:rPr>
  </w:style>
  <w:style w:type="paragraph" w:customStyle="1" w:styleId="HeadingBase">
    <w:name w:val="Heading Base"/>
    <w:rsid w:val="002D1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24D"/>
    <w:pPr>
      <w:tabs>
        <w:tab w:val="right" w:leader="dot" w:pos="9072"/>
      </w:tabs>
      <w:ind w:left="567"/>
    </w:pPr>
    <w:rPr>
      <w:szCs w:val="22"/>
    </w:rPr>
  </w:style>
  <w:style w:type="paragraph" w:customStyle="1" w:styleId="TOCBase">
    <w:name w:val="TOC Base"/>
    <w:rsid w:val="002D1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24D"/>
    <w:pPr>
      <w:tabs>
        <w:tab w:val="right" w:leader="dot" w:pos="9072"/>
      </w:tabs>
      <w:spacing w:before="40" w:after="40"/>
      <w:ind w:left="284"/>
    </w:pPr>
    <w:rPr>
      <w:rFonts w:ascii="Times New Roman" w:hAnsi="Times New Roman"/>
    </w:rPr>
  </w:style>
  <w:style w:type="paragraph" w:styleId="TOC1">
    <w:name w:val="toc 1"/>
    <w:basedOn w:val="TOCBase"/>
    <w:next w:val="Normal"/>
    <w:rsid w:val="002D1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24D"/>
    <w:pPr>
      <w:spacing w:before="5040"/>
      <w:jc w:val="center"/>
    </w:pPr>
    <w:rPr>
      <w:sz w:val="48"/>
      <w:szCs w:val="72"/>
      <w:lang w:val="en-US"/>
    </w:rPr>
  </w:style>
  <w:style w:type="character" w:customStyle="1" w:styleId="TitleChar">
    <w:name w:val="Title Char"/>
    <w:basedOn w:val="DefaultParagraphFont"/>
    <w:link w:val="Title"/>
    <w:rsid w:val="002D1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24D"/>
    <w:pPr>
      <w:tabs>
        <w:tab w:val="left" w:pos="3600"/>
        <w:tab w:val="left" w:pos="3958"/>
      </w:tabs>
    </w:pPr>
  </w:style>
  <w:style w:type="paragraph" w:customStyle="1" w:styleId="Note">
    <w:name w:val="Note"/>
    <w:basedOn w:val="BodyText"/>
    <w:rsid w:val="002D1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24D"/>
    <w:pPr>
      <w:framePr w:wrap="auto" w:hAnchor="text" w:y="6049"/>
    </w:pPr>
    <w:rPr>
      <w:color w:val="000000"/>
      <w:sz w:val="40"/>
    </w:rPr>
  </w:style>
  <w:style w:type="paragraph" w:customStyle="1" w:styleId="TOCTitle">
    <w:name w:val="TOCTitle"/>
    <w:basedOn w:val="Heading1"/>
    <w:rsid w:val="002D124D"/>
    <w:pPr>
      <w:spacing w:after="240"/>
      <w:jc w:val="center"/>
      <w:outlineLvl w:val="9"/>
    </w:pPr>
    <w:rPr>
      <w:caps/>
    </w:rPr>
  </w:style>
  <w:style w:type="paragraph" w:customStyle="1" w:styleId="Version">
    <w:name w:val="Version"/>
    <w:rsid w:val="002D1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24D"/>
    <w:pPr>
      <w:numPr>
        <w:numId w:val="13"/>
      </w:numPr>
      <w:tabs>
        <w:tab w:val="clear" w:pos="680"/>
      </w:tabs>
    </w:pPr>
  </w:style>
  <w:style w:type="paragraph" w:styleId="Index1">
    <w:name w:val="index 1"/>
    <w:basedOn w:val="Normal"/>
    <w:next w:val="Normal"/>
    <w:semiHidden/>
    <w:rsid w:val="002D124D"/>
    <w:pPr>
      <w:keepNext w:val="0"/>
      <w:tabs>
        <w:tab w:val="right" w:pos="4176"/>
      </w:tabs>
      <w:ind w:left="198" w:hanging="198"/>
    </w:pPr>
    <w:rPr>
      <w:rFonts w:ascii="Garamond" w:hAnsi="Garamond"/>
    </w:rPr>
  </w:style>
  <w:style w:type="paragraph" w:styleId="IndexHeading">
    <w:name w:val="index heading"/>
    <w:basedOn w:val="Normal"/>
    <w:next w:val="Index1"/>
    <w:semiHidden/>
    <w:rsid w:val="002D124D"/>
    <w:pPr>
      <w:spacing w:before="120" w:after="120"/>
    </w:pPr>
    <w:rPr>
      <w:rFonts w:ascii="Arial" w:hAnsi="Arial"/>
      <w:b/>
      <w:color w:val="918585"/>
      <w:sz w:val="24"/>
    </w:rPr>
  </w:style>
  <w:style w:type="paragraph" w:styleId="Header">
    <w:name w:val="header"/>
    <w:basedOn w:val="Normal"/>
    <w:link w:val="HeaderChar"/>
    <w:rsid w:val="002D1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24D"/>
    <w:rPr>
      <w:rFonts w:ascii="Times New Roman" w:eastAsia="Times New Roman" w:hAnsi="Times New Roman" w:cs="Times New Roman"/>
      <w:sz w:val="16"/>
      <w:szCs w:val="20"/>
      <w:lang w:val="en-GB" w:eastAsia="en-US"/>
    </w:rPr>
  </w:style>
  <w:style w:type="paragraph" w:customStyle="1" w:styleId="Chapter">
    <w:name w:val="Chapter"/>
    <w:basedOn w:val="Normal"/>
    <w:rsid w:val="002D124D"/>
    <w:pPr>
      <w:spacing w:before="240"/>
    </w:pPr>
    <w:rPr>
      <w:rFonts w:ascii="Times New Roman" w:hAnsi="Times New Roman"/>
      <w:smallCaps/>
      <w:spacing w:val="80"/>
      <w:sz w:val="28"/>
    </w:rPr>
  </w:style>
  <w:style w:type="paragraph" w:customStyle="1" w:styleId="InChapter">
    <w:name w:val="InChapter"/>
    <w:basedOn w:val="Heading3"/>
    <w:rsid w:val="002D124D"/>
    <w:pPr>
      <w:spacing w:after="240"/>
      <w:outlineLvl w:val="9"/>
    </w:pPr>
    <w:rPr>
      <w:noProof/>
    </w:rPr>
  </w:style>
  <w:style w:type="paragraph" w:styleId="Index2">
    <w:name w:val="index 2"/>
    <w:basedOn w:val="Normal"/>
    <w:next w:val="Normal"/>
    <w:semiHidden/>
    <w:rsid w:val="002D124D"/>
    <w:pPr>
      <w:tabs>
        <w:tab w:val="right" w:pos="4176"/>
      </w:tabs>
      <w:ind w:left="568" w:hanging="284"/>
    </w:pPr>
    <w:rPr>
      <w:rFonts w:ascii="Garamond" w:hAnsi="Garamond"/>
    </w:rPr>
  </w:style>
  <w:style w:type="paragraph" w:customStyle="1" w:styleId="Byline">
    <w:name w:val="Byline"/>
    <w:rsid w:val="002D1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24D"/>
    <w:pPr>
      <w:tabs>
        <w:tab w:val="clear" w:pos="3600"/>
        <w:tab w:val="clear" w:pos="3958"/>
      </w:tabs>
      <w:jc w:val="right"/>
    </w:pPr>
  </w:style>
  <w:style w:type="character" w:styleId="Emphasis">
    <w:name w:val="Emphasis"/>
    <w:basedOn w:val="DefaultParagraphFont"/>
    <w:qFormat/>
    <w:rsid w:val="002D124D"/>
    <w:rPr>
      <w:i/>
    </w:rPr>
  </w:style>
  <w:style w:type="paragraph" w:styleId="Caption">
    <w:name w:val="caption"/>
    <w:basedOn w:val="BodyText"/>
    <w:next w:val="Normal"/>
    <w:qFormat/>
    <w:rsid w:val="002D124D"/>
    <w:pPr>
      <w:framePr w:w="2268" w:hSpace="181" w:vSpace="181" w:wrap="around" w:vAnchor="text" w:hAnchor="page" w:x="1135" w:y="285" w:anchorLock="1"/>
    </w:pPr>
    <w:rPr>
      <w:i/>
    </w:rPr>
  </w:style>
  <w:style w:type="paragraph" w:customStyle="1" w:styleId="MiniTOCTitle">
    <w:name w:val="MiniTOCTitle"/>
    <w:basedOn w:val="Heading4"/>
    <w:rsid w:val="002D124D"/>
    <w:pPr>
      <w:spacing w:before="240"/>
      <w:outlineLvl w:val="9"/>
    </w:pPr>
    <w:rPr>
      <w:noProof/>
      <w:sz w:val="24"/>
    </w:rPr>
  </w:style>
  <w:style w:type="paragraph" w:customStyle="1" w:styleId="MiniTOCItem">
    <w:name w:val="MiniTOCItem"/>
    <w:basedOn w:val="ListBullet"/>
    <w:rsid w:val="002D124D"/>
    <w:pPr>
      <w:numPr>
        <w:numId w:val="0"/>
      </w:numPr>
      <w:tabs>
        <w:tab w:val="right" w:leader="dot" w:pos="6521"/>
      </w:tabs>
      <w:spacing w:before="0" w:after="0"/>
    </w:pPr>
  </w:style>
  <w:style w:type="paragraph" w:customStyle="1" w:styleId="TOFTitle">
    <w:name w:val="TOFTitle"/>
    <w:basedOn w:val="TOCTitle"/>
    <w:rsid w:val="002D124D"/>
  </w:style>
  <w:style w:type="paragraph" w:styleId="TableofFigures">
    <w:name w:val="table of figures"/>
    <w:basedOn w:val="Normal"/>
    <w:next w:val="Normal"/>
    <w:semiHidden/>
    <w:rsid w:val="002D124D"/>
    <w:pPr>
      <w:tabs>
        <w:tab w:val="right" w:leader="dot" w:pos="9072"/>
      </w:tabs>
      <w:ind w:left="970" w:hanging="403"/>
    </w:pPr>
    <w:rPr>
      <w:rFonts w:ascii="Times New Roman" w:hAnsi="Times New Roman"/>
      <w:b/>
    </w:rPr>
  </w:style>
  <w:style w:type="paragraph" w:styleId="ListNumber">
    <w:name w:val="List Number"/>
    <w:basedOn w:val="List"/>
    <w:rsid w:val="002D124D"/>
    <w:pPr>
      <w:numPr>
        <w:numId w:val="10"/>
      </w:numPr>
    </w:pPr>
  </w:style>
  <w:style w:type="character" w:customStyle="1" w:styleId="WingdingSymbols">
    <w:name w:val="Wingding Symbols"/>
    <w:rsid w:val="002D124D"/>
    <w:rPr>
      <w:rFonts w:ascii="Wingdings" w:hAnsi="Wingdings"/>
    </w:rPr>
  </w:style>
  <w:style w:type="character" w:customStyle="1" w:styleId="HotSpot">
    <w:name w:val="HotSpot"/>
    <w:rsid w:val="002D124D"/>
    <w:rPr>
      <w:color w:val="0033CC"/>
      <w:u w:val="none"/>
    </w:rPr>
  </w:style>
  <w:style w:type="paragraph" w:customStyle="1" w:styleId="BodyTextRight">
    <w:name w:val="Body Text Right"/>
    <w:basedOn w:val="BodyText"/>
    <w:rsid w:val="002D124D"/>
    <w:pPr>
      <w:spacing w:before="0" w:after="0"/>
      <w:jc w:val="right"/>
    </w:pPr>
  </w:style>
  <w:style w:type="paragraph" w:styleId="Index3">
    <w:name w:val="index 3"/>
    <w:basedOn w:val="ListNumber2"/>
    <w:next w:val="Normal"/>
    <w:semiHidden/>
    <w:rsid w:val="002D124D"/>
    <w:pPr>
      <w:numPr>
        <w:numId w:val="0"/>
      </w:numPr>
      <w:tabs>
        <w:tab w:val="right" w:leader="dot" w:pos="4176"/>
      </w:tabs>
    </w:pPr>
  </w:style>
  <w:style w:type="paragraph" w:styleId="ListNumber2">
    <w:name w:val="List Number 2"/>
    <w:basedOn w:val="List2"/>
    <w:rsid w:val="002D124D"/>
    <w:pPr>
      <w:numPr>
        <w:numId w:val="9"/>
      </w:numPr>
      <w:tabs>
        <w:tab w:val="clear" w:pos="1060"/>
      </w:tabs>
    </w:pPr>
  </w:style>
  <w:style w:type="paragraph" w:customStyle="1" w:styleId="MarginNote">
    <w:name w:val="Margin Note"/>
    <w:basedOn w:val="BodyText"/>
    <w:rsid w:val="002D1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24D"/>
    <w:rPr>
      <w:sz w:val="32"/>
    </w:rPr>
  </w:style>
  <w:style w:type="paragraph" w:customStyle="1" w:styleId="HeadingProcedure">
    <w:name w:val="Heading Procedure"/>
    <w:basedOn w:val="HeadingBase"/>
    <w:next w:val="Normal"/>
    <w:rsid w:val="002D124D"/>
    <w:pPr>
      <w:tabs>
        <w:tab w:val="left" w:pos="0"/>
      </w:tabs>
      <w:spacing w:before="120" w:after="60"/>
    </w:pPr>
    <w:rPr>
      <w:i/>
      <w:color w:val="918585"/>
      <w:sz w:val="22"/>
    </w:rPr>
  </w:style>
  <w:style w:type="paragraph" w:customStyle="1" w:styleId="TableBodyText">
    <w:name w:val="Table Body Text"/>
    <w:basedOn w:val="BodyText"/>
    <w:rsid w:val="002D124D"/>
    <w:pPr>
      <w:spacing w:before="60" w:after="60"/>
    </w:pPr>
  </w:style>
  <w:style w:type="paragraph" w:styleId="ListContinue">
    <w:name w:val="List Continue"/>
    <w:basedOn w:val="List"/>
    <w:rsid w:val="002D124D"/>
    <w:pPr>
      <w:ind w:firstLine="0"/>
    </w:pPr>
  </w:style>
  <w:style w:type="paragraph" w:customStyle="1" w:styleId="ListNote">
    <w:name w:val="List Note"/>
    <w:basedOn w:val="List"/>
    <w:rsid w:val="002D124D"/>
    <w:pPr>
      <w:pBdr>
        <w:top w:val="single" w:sz="6" w:space="2" w:color="918585"/>
        <w:bottom w:val="single" w:sz="6" w:space="2" w:color="918585"/>
      </w:pBdr>
      <w:tabs>
        <w:tab w:val="left" w:pos="1021"/>
      </w:tabs>
      <w:ind w:firstLine="0"/>
    </w:pPr>
  </w:style>
  <w:style w:type="paragraph" w:customStyle="1" w:styleId="Warning">
    <w:name w:val="Warning"/>
    <w:basedOn w:val="BodyText"/>
    <w:rsid w:val="002D124D"/>
    <w:pPr>
      <w:shd w:val="clear" w:color="auto" w:fill="D9D9D9"/>
      <w:tabs>
        <w:tab w:val="left" w:pos="992"/>
      </w:tabs>
      <w:ind w:left="119" w:right="119"/>
    </w:pPr>
    <w:rPr>
      <w:sz w:val="20"/>
    </w:rPr>
  </w:style>
  <w:style w:type="paragraph" w:customStyle="1" w:styleId="MarginIcons">
    <w:name w:val="Margin Icons"/>
    <w:basedOn w:val="BodyText"/>
    <w:rsid w:val="002D1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24D"/>
    <w:rPr>
      <w:rFonts w:ascii="Courier New" w:hAnsi="Courier New"/>
    </w:rPr>
  </w:style>
  <w:style w:type="paragraph" w:customStyle="1" w:styleId="NoteBullet">
    <w:name w:val="Note Bullet"/>
    <w:basedOn w:val="Note"/>
    <w:rsid w:val="002D124D"/>
    <w:pPr>
      <w:tabs>
        <w:tab w:val="clear" w:pos="680"/>
      </w:tabs>
      <w:spacing w:before="60" w:after="60"/>
    </w:pPr>
  </w:style>
  <w:style w:type="paragraph" w:customStyle="1" w:styleId="SubHeading2">
    <w:name w:val="SubHeading2"/>
    <w:basedOn w:val="HeadingBase"/>
    <w:rsid w:val="002D124D"/>
    <w:pPr>
      <w:spacing w:before="240" w:after="60"/>
    </w:pPr>
    <w:rPr>
      <w:sz w:val="20"/>
    </w:rPr>
  </w:style>
  <w:style w:type="paragraph" w:customStyle="1" w:styleId="SubHeading1">
    <w:name w:val="SubHeading1"/>
    <w:basedOn w:val="HeadingBase"/>
    <w:rsid w:val="002D124D"/>
    <w:pPr>
      <w:spacing w:before="240" w:after="60"/>
    </w:pPr>
    <w:rPr>
      <w:color w:val="918585"/>
      <w:sz w:val="22"/>
    </w:rPr>
  </w:style>
  <w:style w:type="paragraph" w:customStyle="1" w:styleId="SideHeading">
    <w:name w:val="Side Heading"/>
    <w:basedOn w:val="HeadingBase"/>
    <w:rsid w:val="002D1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24D"/>
    <w:pPr>
      <w:tabs>
        <w:tab w:val="num" w:pos="360"/>
      </w:tabs>
    </w:pPr>
  </w:style>
  <w:style w:type="paragraph" w:styleId="PlainText">
    <w:name w:val="Plain Text"/>
    <w:basedOn w:val="Normal"/>
    <w:link w:val="PlainTextChar"/>
    <w:rsid w:val="002D124D"/>
    <w:rPr>
      <w:sz w:val="20"/>
    </w:rPr>
  </w:style>
  <w:style w:type="character" w:customStyle="1" w:styleId="PlainTextChar">
    <w:name w:val="Plain Text Char"/>
    <w:basedOn w:val="DefaultParagraphFont"/>
    <w:link w:val="PlainText"/>
    <w:rsid w:val="002D124D"/>
    <w:rPr>
      <w:rFonts w:ascii="Courier New" w:eastAsia="Times New Roman" w:hAnsi="Courier New" w:cs="Times New Roman"/>
      <w:sz w:val="20"/>
      <w:szCs w:val="20"/>
      <w:lang w:eastAsia="en-US"/>
    </w:rPr>
  </w:style>
  <w:style w:type="character" w:customStyle="1" w:styleId="MenuOption">
    <w:name w:val="Menu Option"/>
    <w:basedOn w:val="DefaultParagraphFont"/>
    <w:rsid w:val="002D124D"/>
    <w:rPr>
      <w:b/>
      <w:smallCaps/>
    </w:rPr>
  </w:style>
  <w:style w:type="paragraph" w:customStyle="1" w:styleId="TableListNumber">
    <w:name w:val="Table List Number"/>
    <w:basedOn w:val="ListNumber"/>
    <w:rsid w:val="002D124D"/>
    <w:pPr>
      <w:numPr>
        <w:numId w:val="0"/>
      </w:numPr>
    </w:pPr>
  </w:style>
  <w:style w:type="paragraph" w:styleId="TOC4">
    <w:name w:val="toc 4"/>
    <w:basedOn w:val="TOCBase"/>
    <w:next w:val="Normal"/>
    <w:semiHidden/>
    <w:rsid w:val="002D124D"/>
    <w:pPr>
      <w:tabs>
        <w:tab w:val="right" w:leader="dot" w:pos="9071"/>
      </w:tabs>
      <w:ind w:left="1701"/>
    </w:pPr>
  </w:style>
  <w:style w:type="paragraph" w:customStyle="1" w:styleId="ListAlpha">
    <w:name w:val="List Alpha"/>
    <w:basedOn w:val="List"/>
    <w:rsid w:val="002D124D"/>
    <w:pPr>
      <w:numPr>
        <w:numId w:val="8"/>
      </w:numPr>
    </w:pPr>
  </w:style>
  <w:style w:type="paragraph" w:customStyle="1" w:styleId="ListAlpha2">
    <w:name w:val="List Alpha 2"/>
    <w:basedOn w:val="List2"/>
    <w:rsid w:val="002D124D"/>
    <w:pPr>
      <w:numPr>
        <w:numId w:val="7"/>
      </w:numPr>
    </w:pPr>
  </w:style>
  <w:style w:type="paragraph" w:styleId="List2">
    <w:name w:val="List 2"/>
    <w:basedOn w:val="BodyText"/>
    <w:rsid w:val="002D124D"/>
    <w:pPr>
      <w:tabs>
        <w:tab w:val="left" w:pos="680"/>
      </w:tabs>
      <w:spacing w:before="60" w:after="60"/>
      <w:ind w:left="680" w:hanging="340"/>
    </w:pPr>
  </w:style>
  <w:style w:type="paragraph" w:styleId="List3">
    <w:name w:val="List 3"/>
    <w:basedOn w:val="BodyText"/>
    <w:rsid w:val="002D124D"/>
    <w:pPr>
      <w:tabs>
        <w:tab w:val="left" w:pos="1021"/>
      </w:tabs>
      <w:spacing w:before="60" w:after="60"/>
      <w:ind w:left="1020" w:hanging="340"/>
    </w:pPr>
  </w:style>
  <w:style w:type="paragraph" w:styleId="List4">
    <w:name w:val="List 4"/>
    <w:basedOn w:val="BodyText"/>
    <w:rsid w:val="002D124D"/>
    <w:pPr>
      <w:tabs>
        <w:tab w:val="left" w:pos="1361"/>
      </w:tabs>
      <w:spacing w:before="60" w:after="60"/>
      <w:ind w:left="1361" w:hanging="340"/>
    </w:pPr>
  </w:style>
  <w:style w:type="paragraph" w:styleId="List5">
    <w:name w:val="List 5"/>
    <w:basedOn w:val="BodyText"/>
    <w:rsid w:val="002D124D"/>
    <w:pPr>
      <w:tabs>
        <w:tab w:val="left" w:pos="1701"/>
      </w:tabs>
      <w:spacing w:before="60" w:after="60"/>
      <w:ind w:left="1701" w:hanging="340"/>
    </w:pPr>
  </w:style>
  <w:style w:type="paragraph" w:styleId="ListBullet3">
    <w:name w:val="List Bullet 3"/>
    <w:basedOn w:val="List3"/>
    <w:rsid w:val="002D124D"/>
    <w:pPr>
      <w:numPr>
        <w:numId w:val="14"/>
      </w:numPr>
      <w:tabs>
        <w:tab w:val="clear" w:pos="1021"/>
      </w:tabs>
      <w:ind w:left="1037" w:hanging="357"/>
    </w:pPr>
  </w:style>
  <w:style w:type="paragraph" w:styleId="ListBullet4">
    <w:name w:val="List Bullet 4"/>
    <w:basedOn w:val="List4"/>
    <w:rsid w:val="002D124D"/>
    <w:pPr>
      <w:numPr>
        <w:numId w:val="2"/>
      </w:numPr>
    </w:pPr>
  </w:style>
  <w:style w:type="paragraph" w:styleId="ListBullet5">
    <w:name w:val="List Bullet 5"/>
    <w:basedOn w:val="List5"/>
    <w:rsid w:val="002D124D"/>
    <w:pPr>
      <w:numPr>
        <w:numId w:val="3"/>
      </w:numPr>
    </w:pPr>
  </w:style>
  <w:style w:type="paragraph" w:styleId="ListContinue2">
    <w:name w:val="List Continue 2"/>
    <w:basedOn w:val="List2"/>
    <w:rsid w:val="002D124D"/>
    <w:pPr>
      <w:ind w:firstLine="0"/>
    </w:pPr>
  </w:style>
  <w:style w:type="paragraph" w:styleId="ListContinue3">
    <w:name w:val="List Continue 3"/>
    <w:basedOn w:val="List3"/>
    <w:rsid w:val="002D124D"/>
    <w:pPr>
      <w:ind w:left="1021" w:firstLine="0"/>
    </w:pPr>
  </w:style>
  <w:style w:type="paragraph" w:styleId="ListContinue4">
    <w:name w:val="List Continue 4"/>
    <w:basedOn w:val="List4"/>
    <w:rsid w:val="002D124D"/>
    <w:pPr>
      <w:ind w:firstLine="0"/>
    </w:pPr>
  </w:style>
  <w:style w:type="paragraph" w:styleId="ListContinue5">
    <w:name w:val="List Continue 5"/>
    <w:basedOn w:val="List5"/>
    <w:rsid w:val="002D124D"/>
    <w:pPr>
      <w:ind w:firstLine="0"/>
    </w:pPr>
  </w:style>
  <w:style w:type="paragraph" w:styleId="ListNumber3">
    <w:name w:val="List Number 3"/>
    <w:basedOn w:val="List3"/>
    <w:rsid w:val="002D124D"/>
    <w:pPr>
      <w:numPr>
        <w:numId w:val="4"/>
      </w:numPr>
    </w:pPr>
  </w:style>
  <w:style w:type="paragraph" w:styleId="ListNumber4">
    <w:name w:val="List Number 4"/>
    <w:basedOn w:val="List4"/>
    <w:rsid w:val="002D124D"/>
    <w:pPr>
      <w:numPr>
        <w:numId w:val="5"/>
      </w:numPr>
    </w:pPr>
  </w:style>
  <w:style w:type="paragraph" w:styleId="ListNumber5">
    <w:name w:val="List Number 5"/>
    <w:basedOn w:val="List5"/>
    <w:rsid w:val="002D124D"/>
    <w:pPr>
      <w:numPr>
        <w:numId w:val="6"/>
      </w:numPr>
    </w:pPr>
  </w:style>
  <w:style w:type="paragraph" w:styleId="BlockText">
    <w:name w:val="Block Text"/>
    <w:basedOn w:val="Normal"/>
    <w:rsid w:val="002D124D"/>
    <w:pPr>
      <w:spacing w:after="120"/>
      <w:ind w:left="1440" w:right="1440"/>
    </w:pPr>
  </w:style>
  <w:style w:type="character" w:customStyle="1" w:styleId="Subscript">
    <w:name w:val="Subscript"/>
    <w:basedOn w:val="DefaultParagraphFont"/>
    <w:rsid w:val="002D124D"/>
    <w:rPr>
      <w:sz w:val="16"/>
      <w:vertAlign w:val="subscript"/>
    </w:rPr>
  </w:style>
  <w:style w:type="character" w:customStyle="1" w:styleId="Superscript">
    <w:name w:val="Superscript"/>
    <w:basedOn w:val="DefaultParagraphFont"/>
    <w:rsid w:val="002D124D"/>
    <w:rPr>
      <w:sz w:val="16"/>
      <w:vertAlign w:val="superscript"/>
    </w:rPr>
  </w:style>
  <w:style w:type="character" w:customStyle="1" w:styleId="Symbols">
    <w:name w:val="Symbols"/>
    <w:basedOn w:val="DefaultParagraphFont"/>
    <w:rsid w:val="002D124D"/>
    <w:rPr>
      <w:rFonts w:ascii="Symbol" w:hAnsi="Symbol"/>
    </w:rPr>
  </w:style>
  <w:style w:type="character" w:customStyle="1" w:styleId="MenuOptions">
    <w:name w:val="Menu Options"/>
    <w:basedOn w:val="DefaultParagraphFont"/>
    <w:rsid w:val="002D124D"/>
    <w:rPr>
      <w:rFonts w:ascii="Arial Narrow" w:hAnsi="Arial Narrow"/>
      <w:smallCaps/>
    </w:rPr>
  </w:style>
  <w:style w:type="character" w:customStyle="1" w:styleId="Buttons">
    <w:name w:val="Buttons"/>
    <w:basedOn w:val="DefaultParagraphFont"/>
    <w:rsid w:val="002D124D"/>
    <w:rPr>
      <w:b/>
    </w:rPr>
  </w:style>
  <w:style w:type="character" w:customStyle="1" w:styleId="Underlined">
    <w:name w:val="Underlined"/>
    <w:basedOn w:val="DefaultParagraphFont"/>
    <w:rsid w:val="002D124D"/>
    <w:rPr>
      <w:u w:val="single"/>
    </w:rPr>
  </w:style>
  <w:style w:type="paragraph" w:customStyle="1" w:styleId="TableBodyTextRight">
    <w:name w:val="Table Body Text Right"/>
    <w:basedOn w:val="TableBodyText"/>
    <w:rsid w:val="002D124D"/>
    <w:pPr>
      <w:widowControl w:val="0"/>
      <w:autoSpaceDE w:val="0"/>
      <w:autoSpaceDN w:val="0"/>
      <w:adjustRightInd w:val="0"/>
      <w:jc w:val="right"/>
    </w:pPr>
    <w:rPr>
      <w:rFonts w:cs="Arial"/>
      <w:szCs w:val="18"/>
    </w:rPr>
  </w:style>
  <w:style w:type="paragraph" w:customStyle="1" w:styleId="CopyrightText">
    <w:name w:val="Copyright Text"/>
    <w:basedOn w:val="BodyText"/>
    <w:rsid w:val="002D124D"/>
    <w:rPr>
      <w:sz w:val="18"/>
    </w:rPr>
  </w:style>
  <w:style w:type="paragraph" w:customStyle="1" w:styleId="BodySmallRight">
    <w:name w:val="Body Small Right"/>
    <w:basedOn w:val="BodyTextRight"/>
    <w:rsid w:val="002D124D"/>
    <w:rPr>
      <w:sz w:val="18"/>
      <w:szCs w:val="18"/>
    </w:rPr>
  </w:style>
  <w:style w:type="paragraph" w:customStyle="1" w:styleId="MarginEdition">
    <w:name w:val="Margin Edition"/>
    <w:basedOn w:val="MarginNote"/>
    <w:rsid w:val="002D124D"/>
    <w:pPr>
      <w:spacing w:before="0" w:after="0"/>
    </w:pPr>
    <w:rPr>
      <w:rFonts w:ascii="Times New Roman" w:hAnsi="Times New Roman"/>
      <w:color w:val="999999"/>
    </w:rPr>
  </w:style>
  <w:style w:type="paragraph" w:customStyle="1" w:styleId="Spacer">
    <w:name w:val="Spacer"/>
    <w:basedOn w:val="Normal"/>
    <w:rsid w:val="002D124D"/>
    <w:rPr>
      <w:sz w:val="2"/>
      <w:szCs w:val="2"/>
    </w:rPr>
  </w:style>
  <w:style w:type="character" w:customStyle="1" w:styleId="Small">
    <w:name w:val="Small"/>
    <w:basedOn w:val="DefaultParagraphFont"/>
    <w:rsid w:val="002D124D"/>
    <w:rPr>
      <w:sz w:val="16"/>
    </w:rPr>
  </w:style>
  <w:style w:type="paragraph" w:customStyle="1" w:styleId="WideTable">
    <w:name w:val="Wide Table"/>
    <w:basedOn w:val="Normal"/>
    <w:rsid w:val="002D124D"/>
    <w:pPr>
      <w:ind w:left="-1418"/>
    </w:pPr>
    <w:rPr>
      <w:sz w:val="2"/>
      <w:szCs w:val="2"/>
    </w:rPr>
  </w:style>
  <w:style w:type="character" w:styleId="PageNumber">
    <w:name w:val="page number"/>
    <w:basedOn w:val="DefaultParagraphFont"/>
    <w:rsid w:val="002D124D"/>
  </w:style>
  <w:style w:type="paragraph" w:styleId="Quote">
    <w:name w:val="Quote"/>
    <w:basedOn w:val="Heading1"/>
    <w:link w:val="QuoteChar"/>
    <w:qFormat/>
    <w:rsid w:val="002D124D"/>
    <w:rPr>
      <w:b w:val="0"/>
      <w:sz w:val="72"/>
      <w:szCs w:val="72"/>
      <w:lang w:val="en-NZ"/>
    </w:rPr>
  </w:style>
  <w:style w:type="character" w:customStyle="1" w:styleId="QuoteChar">
    <w:name w:val="Quote Char"/>
    <w:basedOn w:val="DefaultParagraphFont"/>
    <w:link w:val="Quote"/>
    <w:rsid w:val="002D1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24D"/>
    <w:pPr>
      <w:pageBreakBefore/>
    </w:pPr>
  </w:style>
  <w:style w:type="paragraph" w:customStyle="1" w:styleId="Border">
    <w:name w:val="Border"/>
    <w:basedOn w:val="Normal"/>
    <w:qFormat/>
    <w:rsid w:val="002D1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24D"/>
    <w:rPr>
      <w:b/>
      <w:bCs/>
      <w:i/>
      <w:iCs/>
      <w:color w:val="auto"/>
    </w:rPr>
  </w:style>
  <w:style w:type="paragraph" w:styleId="IntenseQuote">
    <w:name w:val="Intense Quote"/>
    <w:basedOn w:val="Normal"/>
    <w:next w:val="Normal"/>
    <w:link w:val="IntenseQuoteChar"/>
    <w:uiPriority w:val="30"/>
    <w:qFormat/>
    <w:rsid w:val="002D1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24D"/>
    <w:rPr>
      <w:smallCaps/>
      <w:color w:val="auto"/>
      <w:u w:val="single"/>
    </w:rPr>
  </w:style>
  <w:style w:type="character" w:styleId="IntenseReference">
    <w:name w:val="Intense Reference"/>
    <w:basedOn w:val="DefaultParagraphFont"/>
    <w:uiPriority w:val="32"/>
    <w:qFormat/>
    <w:rsid w:val="002D124D"/>
    <w:rPr>
      <w:b/>
      <w:bCs/>
      <w:smallCaps/>
      <w:color w:val="auto"/>
      <w:spacing w:val="5"/>
      <w:u w:val="single"/>
    </w:rPr>
  </w:style>
  <w:style w:type="paragraph" w:customStyle="1" w:styleId="2ColumnHeading">
    <w:name w:val="2Column Heading"/>
    <w:basedOn w:val="BodyText"/>
    <w:qFormat/>
    <w:rsid w:val="002D124D"/>
    <w:pPr>
      <w:spacing w:after="60"/>
      <w:ind w:left="-2268"/>
    </w:pPr>
    <w:rPr>
      <w:b/>
    </w:rPr>
  </w:style>
  <w:style w:type="paragraph" w:customStyle="1" w:styleId="Heading1TOC">
    <w:name w:val="Heading1 TOC"/>
    <w:basedOn w:val="Normal"/>
    <w:qFormat/>
    <w:rsid w:val="002D124D"/>
    <w:pPr>
      <w:spacing w:before="240" w:after="120"/>
    </w:pPr>
    <w:rPr>
      <w:rFonts w:ascii="Times New Roman" w:hAnsi="Times New Roman"/>
      <w:b/>
      <w:sz w:val="32"/>
    </w:rPr>
  </w:style>
  <w:style w:type="paragraph" w:customStyle="1" w:styleId="Heading2TOC">
    <w:name w:val="Heading2 TOC"/>
    <w:basedOn w:val="Normal"/>
    <w:qFormat/>
    <w:rsid w:val="002D124D"/>
    <w:pPr>
      <w:spacing w:before="240" w:after="60"/>
    </w:pPr>
    <w:rPr>
      <w:rFonts w:ascii="Times New Roman" w:hAnsi="Times New Roman"/>
      <w:b/>
      <w:sz w:val="28"/>
    </w:rPr>
  </w:style>
  <w:style w:type="character" w:customStyle="1" w:styleId="Underline">
    <w:name w:val="Underline"/>
    <w:basedOn w:val="DefaultParagraphFont"/>
    <w:qFormat/>
    <w:rsid w:val="002D124D"/>
    <w:rPr>
      <w:u w:val="single"/>
    </w:rPr>
  </w:style>
  <w:style w:type="character" w:customStyle="1" w:styleId="BoldandItalics">
    <w:name w:val="Bold and Italics"/>
    <w:qFormat/>
    <w:rsid w:val="002D124D"/>
    <w:rPr>
      <w:b/>
      <w:i/>
      <w:u w:val="none"/>
    </w:rPr>
  </w:style>
  <w:style w:type="paragraph" w:styleId="BalloonText">
    <w:name w:val="Balloon Text"/>
    <w:basedOn w:val="Normal"/>
    <w:link w:val="BalloonTextChar"/>
    <w:rsid w:val="002D124D"/>
    <w:rPr>
      <w:rFonts w:ascii="Tahoma" w:hAnsi="Tahoma" w:cs="Tahoma"/>
      <w:sz w:val="16"/>
      <w:szCs w:val="16"/>
    </w:rPr>
  </w:style>
  <w:style w:type="character" w:customStyle="1" w:styleId="BalloonTextChar">
    <w:name w:val="Balloon Text Char"/>
    <w:basedOn w:val="DefaultParagraphFont"/>
    <w:link w:val="BalloonText"/>
    <w:rsid w:val="002D1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24D"/>
    <w:rPr>
      <w:b/>
      <w:color w:val="660033"/>
      <w:spacing w:val="0"/>
    </w:rPr>
  </w:style>
  <w:style w:type="paragraph" w:customStyle="1" w:styleId="Nameditemlist">
    <w:name w:val="Named item list"/>
    <w:basedOn w:val="BodyText"/>
    <w:qFormat/>
    <w:rsid w:val="002D12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893</Words>
  <Characters>5555</Characters>
  <Application>Microsoft Office Word</Application>
  <DocSecurity>0</DocSecurity>
  <Lines>166</Lines>
  <Paragraphs>81</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FDFFST5007A Evaluate sampling plans in relation to food industry standards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2012-10-05T06:56:00Z</dcterms:created>
  <dcterms:modified xsi:type="dcterms:W3CDTF">2012-10-05T06:56:00Z</dcterms:modified>
</cp:coreProperties>
</file>