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6D7B" w:rsidP="00706D7B">
      <w:pPr>
        <w:pStyle w:val="Title"/>
      </w:pPr>
      <w:r>
        <w:fldChar w:fldCharType="begin"/>
      </w:r>
      <w:r>
        <w:instrText xml:space="preserve"> TITLE   \* MERGEFORMAT </w:instrText>
      </w:r>
      <w:r>
        <w:fldChar w:fldCharType="separate"/>
      </w:r>
      <w:r>
        <w:t>FDFCEL3001A Perform second distillation (pot still brandy) operations</w:t>
      </w:r>
      <w:r>
        <w:fldChar w:fldCharType="end"/>
      </w:r>
    </w:p>
    <w:p w:rsidR="00706D7B" w:rsidP="00706D7B">
      <w:pPr>
        <w:pStyle w:val="Version"/>
        <w:sectPr w:rsidSect="00064AD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64ADB" w:rsidP="00064ADB">
      <w:pPr>
        <w:pStyle w:val="SuperHeading"/>
      </w:pPr>
      <w:r w:rsidRPr="00064ADB">
        <w:t>FDFCEL3001A Perform second distillation (pot still brandy) operations</w:t>
      </w:r>
    </w:p>
    <w:p w:rsidR="00000000" w:rsidRPr="00064ADB" w:rsidP="00064ADB">
      <w:pPr>
        <w:pStyle w:val="Heading1"/>
      </w:pPr>
      <w:bookmarkStart w:id="1" w:name="O_449709"/>
      <w:bookmarkEnd w:id="1"/>
      <w:r w:rsidRPr="00064ADB">
        <w:t>Modification History</w:t>
      </w:r>
    </w:p>
    <w:p w:rsidR="00000000" w:rsidRPr="00064ADB" w:rsidP="00064ADB">
      <w:pPr>
        <w:pStyle w:val="BodyText"/>
      </w:pPr>
      <w:r w:rsidRPr="00064ADB">
        <w:t>This unit supersedes and is equivalent to FDFCELSDA Perform second distillation (pot still brandy) operations.</w:t>
      </w:r>
    </w:p>
    <w:p w:rsidR="00000000" w:rsidRPr="00064ADB" w:rsidP="00064ADB">
      <w:pPr>
        <w:pStyle w:val="BodyText"/>
      </w:pPr>
      <w:r w:rsidRPr="00064ADB">
        <w:t>April 2012: Minor typographical co</w:t>
      </w:r>
      <w:r w:rsidRPr="00064ADB">
        <w:t>rrections.</w:t>
      </w:r>
    </w:p>
    <w:p w:rsidR="00000000" w:rsidRPr="00064ADB" w:rsidP="00064ADB">
      <w:pPr>
        <w:pStyle w:val="AllowPageBreak"/>
      </w:pPr>
    </w:p>
    <w:p w:rsidR="00000000" w:rsidRPr="00064ADB" w:rsidP="00064ADB">
      <w:pPr>
        <w:pStyle w:val="Heading1"/>
      </w:pPr>
      <w:bookmarkStart w:id="2" w:name="O_449705"/>
      <w:bookmarkEnd w:id="2"/>
      <w:r w:rsidRPr="00064ADB">
        <w:t>Unit Descriptor</w:t>
      </w:r>
    </w:p>
    <w:tbl>
      <w:tblPr>
        <w:tblW w:w="9462" w:type="dxa"/>
        <w:tblLayout w:type="fixed"/>
        <w:tblCellMar>
          <w:left w:w="62" w:type="dxa"/>
          <w:right w:w="62" w:type="dxa"/>
        </w:tblCellMar>
        <w:tblLook w:val="0000"/>
      </w:tblPr>
      <w:tblGrid>
        <w:gridCol w:w="2653"/>
        <w:gridCol w:w="6809"/>
      </w:tblGrid>
      <w:tr w:rsidTr="00064ADB">
        <w:tblPrEx>
          <w:tblW w:w="9462" w:type="dxa"/>
          <w:tblLayout w:type="fixed"/>
          <w:tblCellMar>
            <w:left w:w="62" w:type="dxa"/>
            <w:right w:w="62" w:type="dxa"/>
          </w:tblCellMar>
          <w:tblLook w:val="0000"/>
        </w:tblPrEx>
        <w:tc>
          <w:tcPr>
            <w:tcW w:w="26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4ADB">
            <w:pPr>
              <w:pStyle w:val="Heading4"/>
            </w:pPr>
            <w:r w:rsidRPr="00064ADB">
              <w:t>Unit descriptor</w:t>
            </w:r>
          </w:p>
        </w:tc>
        <w:tc>
          <w:tcPr>
            <w:tcW w:w="68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4ADB" w:rsidP="00064ADB">
            <w:pPr>
              <w:pStyle w:val="BodyText"/>
            </w:pPr>
            <w:r w:rsidRPr="00064ADB">
              <w:t>This specialist unit has been developed for the cellar stream of the wine sector. It covers the skills and knowledge required to start up, operate and shut down a pot still for second distillation</w:t>
            </w:r>
            <w:r w:rsidRPr="00064ADB">
              <w:t xml:space="preserve"> operations.</w:t>
            </w:r>
          </w:p>
        </w:tc>
      </w:tr>
    </w:tbl>
    <w:p w:rsidR="00706D7B" w:rsidP="00064ADB">
      <w:pPr>
        <w:pStyle w:val="BodyText"/>
      </w:pPr>
    </w:p>
    <w:p w:rsidR="00706D7B" w:rsidP="00064ADB">
      <w:pPr>
        <w:pStyle w:val="BodyText"/>
      </w:pPr>
    </w:p>
    <w:p w:rsidR="00000000" w:rsidRPr="00064ADB" w:rsidP="00064ADB">
      <w:pPr>
        <w:pStyle w:val="Heading1"/>
      </w:pPr>
      <w:bookmarkStart w:id="3" w:name="O_449717"/>
      <w:bookmarkEnd w:id="3"/>
      <w:r w:rsidRPr="00064ADB">
        <w:t>Application of the Unit</w:t>
      </w:r>
    </w:p>
    <w:tbl>
      <w:tblPr>
        <w:tblW w:w="9462" w:type="dxa"/>
        <w:tblLayout w:type="fixed"/>
        <w:tblCellMar>
          <w:left w:w="62" w:type="dxa"/>
          <w:right w:w="62" w:type="dxa"/>
        </w:tblCellMar>
        <w:tblLook w:val="0000"/>
      </w:tblPr>
      <w:tblGrid>
        <w:gridCol w:w="2653"/>
        <w:gridCol w:w="6809"/>
      </w:tblGrid>
      <w:tr w:rsidTr="00064ADB">
        <w:tblPrEx>
          <w:tblW w:w="9462" w:type="dxa"/>
          <w:tblLayout w:type="fixed"/>
          <w:tblCellMar>
            <w:left w:w="62" w:type="dxa"/>
            <w:right w:w="62" w:type="dxa"/>
          </w:tblCellMar>
          <w:tblLook w:val="0000"/>
        </w:tblPrEx>
        <w:tc>
          <w:tcPr>
            <w:tcW w:w="26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4ADB">
            <w:pPr>
              <w:pStyle w:val="Heading4"/>
            </w:pPr>
            <w:r w:rsidRPr="00064ADB">
              <w:t>Application of the unit</w:t>
            </w:r>
          </w:p>
        </w:tc>
        <w:tc>
          <w:tcPr>
            <w:tcW w:w="68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4ADB" w:rsidP="00064ADB">
            <w:pPr>
              <w:pStyle w:val="BodyText"/>
            </w:pPr>
            <w:r w:rsidRPr="00064ADB">
              <w:t xml:space="preserve">This unit applies to cellar operations staff required to operate a pot still for the second distillation of low wine. The distillation product </w:t>
            </w:r>
            <w:r w:rsidRPr="00064ADB">
              <w:t>may be fortifying spirit, commercial and premium brandy.</w:t>
            </w:r>
          </w:p>
          <w:p w:rsidR="00000000" w:rsidRPr="00064ADB" w:rsidP="00064ADB">
            <w:pPr>
              <w:pStyle w:val="BodyText"/>
            </w:pPr>
            <w:r w:rsidRPr="00064ADB">
              <w:t>The unit covers managing the distillation equipment and process, taking samples and tests, routine and emergency shutdowns, and keeping of records. A working knowledge of Customs and Excise regulatio</w:t>
            </w:r>
            <w:r w:rsidRPr="00064ADB">
              <w:t>ns is also required. The unit can apply to both manual and computer-controlled pot still distillation processes.</w:t>
            </w:r>
          </w:p>
        </w:tc>
      </w:tr>
    </w:tbl>
    <w:p w:rsidR="00706D7B" w:rsidP="00064ADB">
      <w:pPr>
        <w:pStyle w:val="BodyText"/>
      </w:pPr>
    </w:p>
    <w:p w:rsidR="00706D7B" w:rsidP="00064ADB">
      <w:pPr>
        <w:pStyle w:val="BodyText"/>
      </w:pPr>
    </w:p>
    <w:p w:rsidR="00000000" w:rsidRPr="00064ADB" w:rsidP="00064ADB">
      <w:pPr>
        <w:pStyle w:val="Heading1"/>
      </w:pPr>
      <w:bookmarkStart w:id="4" w:name="O_449710"/>
      <w:bookmarkEnd w:id="4"/>
      <w:r w:rsidRPr="00064ADB">
        <w:t>Licensing/Regulatory Information</w:t>
      </w:r>
    </w:p>
    <w:p w:rsidR="00000000" w:rsidRPr="00064ADB" w:rsidP="00064ADB">
      <w:pPr>
        <w:pStyle w:val="BodyText"/>
      </w:pPr>
      <w:r w:rsidRPr="00064ADB">
        <w:t>Not applicable.</w:t>
      </w:r>
    </w:p>
    <w:p w:rsidR="00000000" w:rsidRPr="00064ADB" w:rsidP="00064ADB">
      <w:pPr>
        <w:pStyle w:val="AllowPageBreak"/>
      </w:pPr>
    </w:p>
    <w:p w:rsidR="00000000" w:rsidRPr="00064ADB" w:rsidP="00064ADB">
      <w:pPr>
        <w:pStyle w:val="Heading1"/>
      </w:pPr>
      <w:bookmarkStart w:id="5" w:name="O_449708"/>
      <w:bookmarkEnd w:id="5"/>
      <w:r w:rsidRPr="00064ADB">
        <w:t>Pre-Requisites</w:t>
      </w:r>
    </w:p>
    <w:tbl>
      <w:tblPr>
        <w:tblW w:w="9462" w:type="dxa"/>
        <w:tblLayout w:type="fixed"/>
        <w:tblCellMar>
          <w:left w:w="62" w:type="dxa"/>
          <w:right w:w="62" w:type="dxa"/>
        </w:tblCellMar>
        <w:tblLook w:val="0000"/>
      </w:tblPr>
      <w:tblGrid>
        <w:gridCol w:w="2653"/>
        <w:gridCol w:w="1745"/>
        <w:gridCol w:w="5064"/>
      </w:tblGrid>
      <w:tr w:rsidTr="00064ADB">
        <w:tblPrEx>
          <w:tblW w:w="9462" w:type="dxa"/>
          <w:tblLayout w:type="fixed"/>
          <w:tblCellMar>
            <w:left w:w="62" w:type="dxa"/>
            <w:right w:w="62" w:type="dxa"/>
          </w:tblCellMar>
          <w:tblLook w:val="0000"/>
        </w:tblPrEx>
        <w:tc>
          <w:tcPr>
            <w:tcW w:w="26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4ADB">
            <w:pPr>
              <w:pStyle w:val="Heading4"/>
            </w:pPr>
            <w:r w:rsidRPr="00064ADB">
              <w:t>Prerequisite units</w:t>
            </w:r>
          </w:p>
        </w:tc>
        <w:tc>
          <w:tcPr>
            <w:tcW w:w="680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064ADB">
        <w:tblPrEx>
          <w:tblW w:w="9462" w:type="dxa"/>
          <w:tblLayout w:type="fixed"/>
          <w:tblCellMar>
            <w:left w:w="62" w:type="dxa"/>
            <w:right w:w="62" w:type="dxa"/>
          </w:tblCellMar>
          <w:tblLook w:val="0000"/>
        </w:tblPrEx>
        <w:tc>
          <w:tcPr>
            <w:tcW w:w="26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4ADB">
            <w:pPr>
              <w:pStyle w:val="BodyText"/>
              <w:rPr>
                <w:lang w:val="en-NZ"/>
              </w:rPr>
            </w:pPr>
            <w:r w:rsidRPr="00064ADB">
              <w:t>FDFOP2013A</w:t>
            </w:r>
          </w:p>
        </w:tc>
        <w:tc>
          <w:tcPr>
            <w:tcW w:w="5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4ADB">
            <w:pPr>
              <w:pStyle w:val="BodyText"/>
              <w:rPr>
                <w:lang w:val="en-NZ"/>
              </w:rPr>
            </w:pPr>
            <w:r w:rsidRPr="00064ADB">
              <w:t>Apply sampling procedures</w:t>
            </w:r>
          </w:p>
        </w:tc>
      </w:tr>
      <w:tr w:rsidTr="00064ADB">
        <w:tblPrEx>
          <w:tblW w:w="9462" w:type="dxa"/>
          <w:tblLayout w:type="fixed"/>
          <w:tblCellMar>
            <w:left w:w="62" w:type="dxa"/>
            <w:right w:w="62" w:type="dxa"/>
          </w:tblCellMar>
          <w:tblLook w:val="0000"/>
        </w:tblPrEx>
        <w:tc>
          <w:tcPr>
            <w:tcW w:w="26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4ADB">
            <w:pPr>
              <w:pStyle w:val="BodyText"/>
              <w:rPr>
                <w:lang w:val="en-NZ"/>
              </w:rPr>
            </w:pPr>
            <w:r w:rsidRPr="00064ADB">
              <w:t xml:space="preserve">MSL973001A </w:t>
            </w:r>
          </w:p>
        </w:tc>
        <w:tc>
          <w:tcPr>
            <w:tcW w:w="5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4ADB" w:rsidP="00064ADB">
            <w:pPr>
              <w:pStyle w:val="BodyText"/>
            </w:pPr>
            <w:r w:rsidRPr="00064ADB">
              <w:t>Perform basic tests</w:t>
            </w:r>
          </w:p>
        </w:tc>
      </w:tr>
    </w:tbl>
    <w:p w:rsidR="00706D7B" w:rsidP="00064ADB">
      <w:pPr>
        <w:pStyle w:val="BodyText"/>
      </w:pPr>
    </w:p>
    <w:p w:rsidR="00706D7B" w:rsidP="00064ADB">
      <w:pPr>
        <w:pStyle w:val="BodyText"/>
      </w:pPr>
    </w:p>
    <w:p w:rsidR="00000000" w:rsidRPr="00064ADB" w:rsidP="00064ADB">
      <w:pPr>
        <w:pStyle w:val="Heading1"/>
      </w:pPr>
      <w:bookmarkStart w:id="6" w:name="O_449713"/>
      <w:bookmarkEnd w:id="6"/>
      <w:r w:rsidRPr="00064ADB">
        <w:t>Employability Skills Information</w:t>
      </w:r>
    </w:p>
    <w:tbl>
      <w:tblPr>
        <w:tblW w:w="9462" w:type="dxa"/>
        <w:tblLayout w:type="fixed"/>
        <w:tblCellMar>
          <w:left w:w="62" w:type="dxa"/>
          <w:right w:w="62" w:type="dxa"/>
        </w:tblCellMar>
        <w:tblLook w:val="0000"/>
      </w:tblPr>
      <w:tblGrid>
        <w:gridCol w:w="2653"/>
        <w:gridCol w:w="6809"/>
      </w:tblGrid>
      <w:tr w:rsidTr="00064ADB">
        <w:tblPrEx>
          <w:tblW w:w="9462" w:type="dxa"/>
          <w:tblLayout w:type="fixed"/>
          <w:tblCellMar>
            <w:left w:w="62" w:type="dxa"/>
            <w:right w:w="62" w:type="dxa"/>
          </w:tblCellMar>
          <w:tblLook w:val="0000"/>
        </w:tblPrEx>
        <w:tc>
          <w:tcPr>
            <w:tcW w:w="26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4ADB">
            <w:pPr>
              <w:pStyle w:val="Heading4"/>
            </w:pPr>
            <w:r w:rsidRPr="00064ADB">
              <w:t>Employability skills</w:t>
            </w:r>
          </w:p>
        </w:tc>
        <w:tc>
          <w:tcPr>
            <w:tcW w:w="68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4ADB" w:rsidP="00064ADB">
            <w:pPr>
              <w:pStyle w:val="BodyText"/>
            </w:pPr>
            <w:r w:rsidRPr="00064ADB">
              <w:t xml:space="preserve">This unit contains employability skills.  </w:t>
            </w:r>
          </w:p>
        </w:tc>
      </w:tr>
    </w:tbl>
    <w:p w:rsidR="00706D7B" w:rsidP="00064ADB">
      <w:pPr>
        <w:pStyle w:val="BodyText"/>
      </w:pPr>
    </w:p>
    <w:p w:rsidR="00706D7B" w:rsidP="00064ADB">
      <w:pPr>
        <w:pStyle w:val="BodyText"/>
      </w:pPr>
    </w:p>
    <w:p w:rsidR="00000000" w:rsidRPr="00064ADB" w:rsidP="00064ADB">
      <w:pPr>
        <w:pStyle w:val="Heading1"/>
      </w:pPr>
      <w:bookmarkStart w:id="7" w:name="O_449714"/>
      <w:bookmarkEnd w:id="7"/>
      <w:r w:rsidRPr="00064ADB">
        <w:t>Elements and Performance Criteria Pre-Content</w:t>
      </w:r>
    </w:p>
    <w:tbl>
      <w:tblPr>
        <w:tblW w:w="0" w:type="auto"/>
        <w:tblCellMar>
          <w:left w:w="62" w:type="dxa"/>
          <w:right w:w="62" w:type="dxa"/>
        </w:tblCellMar>
        <w:tblLook w:val="0000"/>
      </w:tblPr>
      <w:tblGrid>
        <w:gridCol w:w="2818"/>
        <w:gridCol w:w="6378"/>
      </w:tblGrid>
      <w:tr w:rsidTr="00706D7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64ADB">
            <w:pPr>
              <w:pStyle w:val="BodyText"/>
              <w:rPr>
                <w:lang w:val="en-NZ"/>
              </w:rPr>
            </w:pPr>
            <w:r w:rsidRPr="00064ADB">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064ADB" w:rsidP="00064ADB">
            <w:pPr>
              <w:pStyle w:val="BodyText"/>
            </w:pPr>
            <w:r w:rsidRPr="00064ADB">
              <w:t>Performance criteria describe the performance needed to demonstrate achievement of the element. Where bold italicised text is used, further information is detailed in the required skills and</w:t>
            </w:r>
            <w:r w:rsidRPr="00064ADB">
              <w:t xml:space="preserve"> knowledge section and the range statement. Assessment of performance is to be consistent with the evidence guide.</w:t>
            </w:r>
          </w:p>
        </w:tc>
      </w:tr>
    </w:tbl>
    <w:p w:rsidR="00000000" w:rsidRPr="00064ADB" w:rsidP="00064ADB">
      <w:pPr>
        <w:pStyle w:val="BodyText"/>
      </w:pPr>
    </w:p>
    <w:p w:rsidR="00000000" w:rsidRPr="00064ADB" w:rsidP="00064ADB">
      <w:pPr>
        <w:pStyle w:val="AllowPageBreak"/>
      </w:pPr>
    </w:p>
    <w:p w:rsidR="00000000" w:rsidRPr="00064ADB" w:rsidP="00064ADB">
      <w:pPr>
        <w:pStyle w:val="Heading1"/>
      </w:pPr>
      <w:bookmarkStart w:id="8" w:name="O_449715"/>
      <w:bookmarkEnd w:id="8"/>
      <w:r w:rsidRPr="00064ADB">
        <w:t>Elements and Performance Criteria</w:t>
      </w:r>
    </w:p>
    <w:tbl>
      <w:tblPr>
        <w:tblW w:w="9462" w:type="dxa"/>
        <w:tblLayout w:type="fixed"/>
        <w:tblCellMar>
          <w:left w:w="62" w:type="dxa"/>
          <w:right w:w="62" w:type="dxa"/>
        </w:tblCellMar>
        <w:tblLook w:val="0000"/>
      </w:tblPr>
      <w:tblGrid>
        <w:gridCol w:w="2700"/>
        <w:gridCol w:w="6762"/>
      </w:tblGrid>
      <w:tr w:rsidTr="00064ADB">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064ADB">
            <w:pPr>
              <w:pStyle w:val="TableHeading"/>
            </w:pPr>
            <w:r w:rsidRPr="00064ADB">
              <w:t>ELEMENT</w:t>
            </w:r>
          </w:p>
        </w:tc>
        <w:tc>
          <w:tcPr>
            <w:tcW w:w="6762" w:type="dxa"/>
            <w:tcBorders>
              <w:top w:val="nil"/>
              <w:left w:val="nil"/>
              <w:bottom w:val="nil"/>
              <w:right w:val="nil"/>
            </w:tcBorders>
            <w:tcMar>
              <w:top w:w="0" w:type="dxa"/>
              <w:left w:w="62" w:type="dxa"/>
              <w:bottom w:w="0" w:type="dxa"/>
              <w:right w:w="62" w:type="dxa"/>
            </w:tcMar>
          </w:tcPr>
          <w:p w:rsidR="00000000" w:rsidP="00064ADB">
            <w:pPr>
              <w:pStyle w:val="TableHeading"/>
            </w:pPr>
            <w:r w:rsidRPr="00064ADB">
              <w:t>PERFORMANCE CRITERIA</w:t>
            </w:r>
          </w:p>
        </w:tc>
      </w:tr>
      <w:tr w:rsidTr="00064ADB">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64ADB">
            <w:pPr>
              <w:pStyle w:val="List"/>
              <w:rPr>
                <w:lang w:val="en-NZ"/>
              </w:rPr>
            </w:pPr>
            <w:r w:rsidRPr="00064ADB">
              <w:t>1.</w:t>
            </w:r>
            <w:r w:rsidRPr="00064ADB">
              <w:tab/>
              <w:t>Prepare the second distillation process for operation</w:t>
            </w:r>
          </w:p>
        </w:tc>
        <w:tc>
          <w:tcPr>
            <w:tcW w:w="6762" w:type="dxa"/>
            <w:tcBorders>
              <w:top w:val="nil"/>
              <w:left w:val="nil"/>
              <w:bottom w:val="nil"/>
              <w:right w:val="nil"/>
            </w:tcBorders>
            <w:tcMar>
              <w:top w:w="0" w:type="dxa"/>
              <w:left w:w="62" w:type="dxa"/>
              <w:bottom w:w="0" w:type="dxa"/>
              <w:right w:w="62" w:type="dxa"/>
            </w:tcMar>
          </w:tcPr>
          <w:p w:rsidR="00000000" w:rsidRPr="00064ADB" w:rsidP="00064ADB">
            <w:pPr>
              <w:pStyle w:val="List"/>
            </w:pPr>
            <w:r w:rsidRPr="00064ADB">
              <w:t>1.1</w:t>
            </w:r>
            <w:r w:rsidRPr="00064ADB">
              <w:tab/>
              <w:t>Product and materials are confirmed and available to meet production requirements</w:t>
            </w:r>
          </w:p>
          <w:p w:rsidR="00000000" w:rsidRPr="00064ADB" w:rsidP="00064ADB">
            <w:pPr>
              <w:pStyle w:val="List"/>
            </w:pPr>
            <w:r w:rsidRPr="00064ADB">
              <w:t>1.2</w:t>
            </w:r>
            <w:r w:rsidRPr="00064ADB">
              <w:tab/>
              <w:t>Product and materials are prepared to meet production requirements</w:t>
            </w:r>
          </w:p>
          <w:p w:rsidR="00000000" w:rsidRPr="00064ADB" w:rsidP="00064ADB">
            <w:pPr>
              <w:pStyle w:val="List"/>
            </w:pPr>
            <w:r w:rsidRPr="00064ADB">
              <w:t>1.3</w:t>
            </w:r>
            <w:r w:rsidRPr="00064ADB">
              <w:tab/>
              <w:t>Services are confirmed as available and ready for operation</w:t>
            </w:r>
          </w:p>
          <w:p w:rsidR="00000000" w:rsidRPr="00064ADB" w:rsidP="00064ADB">
            <w:pPr>
              <w:pStyle w:val="List"/>
            </w:pPr>
            <w:r w:rsidRPr="00064ADB">
              <w:t>1.4</w:t>
            </w:r>
            <w:r w:rsidRPr="00064ADB">
              <w:tab/>
              <w:t>Equipment is checked to confirm</w:t>
            </w:r>
            <w:r w:rsidRPr="00064ADB">
              <w:t xml:space="preserve"> readiness for use</w:t>
            </w:r>
          </w:p>
          <w:p w:rsidR="00000000" w:rsidP="00064ADB">
            <w:pPr>
              <w:pStyle w:val="List"/>
              <w:rPr>
                <w:lang w:val="en-NZ"/>
              </w:rPr>
            </w:pPr>
            <w:r w:rsidRPr="00064ADB">
              <w:t>1.5</w:t>
            </w:r>
            <w:r w:rsidRPr="00064ADB">
              <w:tab/>
              <w:t>The process is set to meet production requirements</w:t>
            </w:r>
          </w:p>
        </w:tc>
      </w:tr>
      <w:tr w:rsidTr="00064ADB">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64ADB">
            <w:pPr>
              <w:pStyle w:val="List"/>
              <w:rPr>
                <w:lang w:val="en-NZ"/>
              </w:rPr>
            </w:pPr>
            <w:r w:rsidRPr="00064ADB">
              <w:t>2.</w:t>
            </w:r>
            <w:r w:rsidRPr="00064ADB">
              <w:tab/>
              <w:t>Operate and monitor the second distillation process</w:t>
            </w:r>
          </w:p>
        </w:tc>
        <w:tc>
          <w:tcPr>
            <w:tcW w:w="6762" w:type="dxa"/>
            <w:tcBorders>
              <w:top w:val="nil"/>
              <w:left w:val="nil"/>
              <w:bottom w:val="nil"/>
              <w:right w:val="nil"/>
            </w:tcBorders>
            <w:tcMar>
              <w:top w:w="0" w:type="dxa"/>
              <w:left w:w="62" w:type="dxa"/>
              <w:bottom w:w="0" w:type="dxa"/>
              <w:right w:w="62" w:type="dxa"/>
            </w:tcMar>
          </w:tcPr>
          <w:p w:rsidR="00000000" w:rsidRPr="00064ADB" w:rsidP="00064ADB">
            <w:pPr>
              <w:pStyle w:val="List"/>
            </w:pPr>
            <w:r w:rsidRPr="00064ADB">
              <w:t>2.1</w:t>
            </w:r>
            <w:r w:rsidRPr="00064ADB">
              <w:tab/>
              <w:t>The distillation process is started up according to workplace procedures</w:t>
            </w:r>
          </w:p>
          <w:p w:rsidR="00000000" w:rsidRPr="00064ADB" w:rsidP="00064ADB">
            <w:pPr>
              <w:pStyle w:val="List"/>
            </w:pPr>
            <w:r w:rsidRPr="00064ADB">
              <w:t>2.2</w:t>
            </w:r>
            <w:r w:rsidRPr="00064ADB">
              <w:tab/>
              <w:t>Control points are monitored to confirm perfo</w:t>
            </w:r>
            <w:r w:rsidRPr="00064ADB">
              <w:t>rmance is maintained within specification</w:t>
            </w:r>
          </w:p>
          <w:p w:rsidR="00000000" w:rsidRPr="00064ADB" w:rsidP="00064ADB">
            <w:pPr>
              <w:pStyle w:val="List"/>
            </w:pPr>
            <w:r w:rsidRPr="00064ADB">
              <w:t>2.3</w:t>
            </w:r>
            <w:r w:rsidRPr="00064ADB">
              <w:tab/>
              <w:t>Distillate meets specification</w:t>
            </w:r>
          </w:p>
          <w:p w:rsidR="00000000" w:rsidRPr="00064ADB" w:rsidP="00064ADB">
            <w:pPr>
              <w:pStyle w:val="List"/>
            </w:pPr>
            <w:r w:rsidRPr="00064ADB">
              <w:t>2.4</w:t>
            </w:r>
            <w:r w:rsidRPr="00064ADB">
              <w:tab/>
              <w:t>Equipment is monitored to confirm operating condition</w:t>
            </w:r>
          </w:p>
          <w:p w:rsidR="00000000" w:rsidP="00064ADB">
            <w:pPr>
              <w:pStyle w:val="List"/>
              <w:rPr>
                <w:lang w:val="en-NZ"/>
              </w:rPr>
            </w:pPr>
            <w:r w:rsidRPr="00064ADB">
              <w:t>2.5</w:t>
            </w:r>
            <w:r w:rsidRPr="00064ADB">
              <w:tab/>
              <w:t>Out-of-specification distillate, process and equipment performance is identified, rectified and/or reported</w:t>
            </w:r>
          </w:p>
        </w:tc>
      </w:tr>
      <w:tr w:rsidTr="00064ADB">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64ADB">
            <w:pPr>
              <w:pStyle w:val="List"/>
              <w:rPr>
                <w:lang w:val="en-NZ"/>
              </w:rPr>
            </w:pPr>
            <w:r w:rsidRPr="00064ADB">
              <w:t>3.</w:t>
            </w:r>
            <w:r w:rsidRPr="00064ADB">
              <w:tab/>
              <w:t xml:space="preserve">Shut </w:t>
            </w:r>
            <w:r w:rsidRPr="00064ADB">
              <w:t>down the second distillation process</w:t>
            </w:r>
          </w:p>
        </w:tc>
        <w:tc>
          <w:tcPr>
            <w:tcW w:w="6762" w:type="dxa"/>
            <w:tcBorders>
              <w:top w:val="nil"/>
              <w:left w:val="nil"/>
              <w:bottom w:val="nil"/>
              <w:right w:val="nil"/>
            </w:tcBorders>
            <w:tcMar>
              <w:top w:w="0" w:type="dxa"/>
              <w:left w:w="62" w:type="dxa"/>
              <w:bottom w:w="0" w:type="dxa"/>
              <w:right w:w="62" w:type="dxa"/>
            </w:tcMar>
          </w:tcPr>
          <w:p w:rsidR="00000000" w:rsidRPr="00064ADB" w:rsidP="00064ADB">
            <w:pPr>
              <w:pStyle w:val="List"/>
            </w:pPr>
            <w:r w:rsidRPr="00064ADB">
              <w:t>3.1</w:t>
            </w:r>
            <w:r w:rsidRPr="00064ADB">
              <w:tab/>
              <w:t>The process is shut down according to workplace procedures</w:t>
            </w:r>
          </w:p>
          <w:p w:rsidR="00000000" w:rsidRPr="00064ADB" w:rsidP="00064ADB">
            <w:pPr>
              <w:pStyle w:val="List"/>
            </w:pPr>
            <w:r w:rsidRPr="00064ADB">
              <w:t>3.2</w:t>
            </w:r>
            <w:r w:rsidRPr="00064ADB">
              <w:tab/>
              <w:t>Equipment is dismantled and prepared for cleaning</w:t>
            </w:r>
          </w:p>
          <w:p w:rsidR="00000000" w:rsidP="00064ADB">
            <w:pPr>
              <w:pStyle w:val="List"/>
              <w:rPr>
                <w:lang w:val="en-NZ"/>
              </w:rPr>
            </w:pPr>
            <w:r w:rsidRPr="00064ADB">
              <w:t>3.3</w:t>
            </w:r>
            <w:r w:rsidRPr="00064ADB">
              <w:tab/>
              <w:t>Work is conducted in accordance with workplace environmental guidelines</w:t>
            </w:r>
          </w:p>
        </w:tc>
      </w:tr>
      <w:tr w:rsidTr="00064ADB">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64ADB">
            <w:pPr>
              <w:pStyle w:val="List"/>
              <w:rPr>
                <w:lang w:val="en-NZ"/>
              </w:rPr>
            </w:pPr>
            <w:r w:rsidRPr="00064ADB">
              <w:t>4.</w:t>
            </w:r>
            <w:r w:rsidRPr="00064ADB">
              <w:tab/>
              <w:t>Record information</w:t>
            </w:r>
          </w:p>
        </w:tc>
        <w:tc>
          <w:tcPr>
            <w:tcW w:w="6762" w:type="dxa"/>
            <w:tcBorders>
              <w:top w:val="nil"/>
              <w:left w:val="nil"/>
              <w:bottom w:val="nil"/>
              <w:right w:val="nil"/>
            </w:tcBorders>
            <w:tcMar>
              <w:top w:w="0" w:type="dxa"/>
              <w:left w:w="62" w:type="dxa"/>
              <w:bottom w:w="0" w:type="dxa"/>
              <w:right w:w="62" w:type="dxa"/>
            </w:tcMar>
          </w:tcPr>
          <w:p w:rsidR="00000000" w:rsidRPr="00064ADB" w:rsidP="00064ADB">
            <w:pPr>
              <w:pStyle w:val="List"/>
            </w:pPr>
            <w:r w:rsidRPr="00064ADB">
              <w:t>4.1</w:t>
            </w:r>
            <w:r w:rsidRPr="00064ADB">
              <w:tab/>
              <w:t>Workplace information is recorded in the appropriate format</w:t>
            </w:r>
          </w:p>
          <w:p w:rsidR="00000000" w:rsidRPr="00064ADB" w:rsidP="00064ADB">
            <w:pPr>
              <w:pStyle w:val="List"/>
            </w:pPr>
          </w:p>
        </w:tc>
      </w:tr>
    </w:tbl>
    <w:p w:rsidR="00706D7B" w:rsidP="00064ADB">
      <w:pPr>
        <w:pStyle w:val="BodyText"/>
      </w:pPr>
    </w:p>
    <w:p w:rsidR="00706D7B" w:rsidP="00064ADB">
      <w:pPr>
        <w:pStyle w:val="BodyText"/>
      </w:pPr>
    </w:p>
    <w:p w:rsidR="00000000" w:rsidRPr="00064ADB" w:rsidP="00064ADB">
      <w:pPr>
        <w:pStyle w:val="Heading1"/>
      </w:pPr>
      <w:bookmarkStart w:id="9" w:name="O_449706"/>
      <w:bookmarkEnd w:id="9"/>
      <w:r w:rsidRPr="00064ADB">
        <w:t>Required Skills and Knowledge</w:t>
      </w:r>
    </w:p>
    <w:tbl>
      <w:tblPr>
        <w:tblW w:w="9462" w:type="dxa"/>
        <w:tblLayout w:type="fixed"/>
        <w:tblCellMar>
          <w:left w:w="62" w:type="dxa"/>
          <w:right w:w="62" w:type="dxa"/>
        </w:tblCellMar>
        <w:tblLook w:val="0000"/>
      </w:tblPr>
      <w:tblGrid>
        <w:gridCol w:w="9462"/>
      </w:tblGrid>
      <w:tr w:rsidTr="00064ADB">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064ADB">
            <w:pPr>
              <w:pStyle w:val="BodyText"/>
              <w:rPr>
                <w:lang w:val="en-NZ"/>
              </w:rPr>
            </w:pPr>
            <w:r w:rsidRPr="00064ADB">
              <w:t>This section describes the skills and knowledge required for this unit.</w:t>
            </w:r>
          </w:p>
        </w:tc>
      </w:tr>
      <w:tr w:rsidTr="00064ADB">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064ADB">
            <w:pPr>
              <w:pStyle w:val="TableHeading"/>
            </w:pPr>
            <w:r w:rsidRPr="00064ADB">
              <w:t>Required skills include:</w:t>
            </w:r>
          </w:p>
        </w:tc>
      </w:tr>
      <w:tr w:rsidTr="00064ADB">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064ADB" w:rsidP="00064ADB">
            <w:pPr>
              <w:pStyle w:val="BodyText"/>
            </w:pPr>
            <w:r w:rsidRPr="00064ADB">
              <w:t xml:space="preserve">Note: The following required skills should be applied as appropriate to the equipment and processes that are used in the particular winery or workplace.   </w:t>
            </w:r>
          </w:p>
          <w:p w:rsidR="00000000" w:rsidRPr="00064ADB" w:rsidP="00064ADB">
            <w:pPr>
              <w:pStyle w:val="BodyText"/>
            </w:pPr>
            <w:r w:rsidRPr="00064ADB">
              <w:rPr>
                <w:rStyle w:val="SpecialBold"/>
              </w:rPr>
              <w:t>Ability to:</w:t>
            </w:r>
          </w:p>
          <w:p w:rsidR="00000000" w:rsidRPr="00064ADB" w:rsidP="00064ADB">
            <w:pPr>
              <w:pStyle w:val="ListBullet"/>
            </w:pPr>
            <w:r w:rsidRPr="00064ADB">
              <w:t>access workplace information to identify distillation requirements</w:t>
            </w:r>
          </w:p>
          <w:p w:rsidR="00000000" w:rsidRPr="00064ADB" w:rsidP="00064ADB">
            <w:pPr>
              <w:pStyle w:val="ListBullet"/>
            </w:pPr>
            <w:r w:rsidRPr="00064ADB">
              <w:t xml:space="preserve">select, fit and use </w:t>
            </w:r>
            <w:r w:rsidRPr="00064ADB">
              <w:t>personal protective clothing and/or equipment</w:t>
            </w:r>
          </w:p>
          <w:p w:rsidR="00000000" w:rsidRPr="00064ADB" w:rsidP="00064ADB">
            <w:pPr>
              <w:pStyle w:val="ListBullet"/>
            </w:pPr>
            <w:r w:rsidRPr="00064ADB">
              <w:t>confirm supply of necessary product, materials and services. This may include checking temperature and alcoholic strength</w:t>
            </w:r>
          </w:p>
          <w:p w:rsidR="00000000" w:rsidRPr="00064ADB" w:rsidP="00064ADB">
            <w:pPr>
              <w:pStyle w:val="ListBullet"/>
            </w:pPr>
            <w:r w:rsidRPr="00064ADB">
              <w:t>liaise with other work areas</w:t>
            </w:r>
          </w:p>
          <w:p w:rsidR="00000000" w:rsidRPr="00064ADB" w:rsidP="00064ADB">
            <w:pPr>
              <w:pStyle w:val="ListBullet"/>
            </w:pPr>
            <w:r w:rsidRPr="00064ADB">
              <w:t>prepare product and materials as required. This may include</w:t>
            </w:r>
            <w:r w:rsidRPr="00064ADB">
              <w:t>:</w:t>
            </w:r>
          </w:p>
          <w:p w:rsidR="00000000" w:rsidRPr="00064ADB" w:rsidP="00064ADB">
            <w:pPr>
              <w:pStyle w:val="ListBullet2"/>
            </w:pPr>
            <w:r w:rsidRPr="00064ADB">
              <w:t>heating the incoming product</w:t>
            </w:r>
          </w:p>
          <w:p w:rsidR="00000000" w:rsidRPr="00064ADB" w:rsidP="00064ADB">
            <w:pPr>
              <w:pStyle w:val="ListBullet2"/>
            </w:pPr>
            <w:r w:rsidRPr="00064ADB">
              <w:t>surveying vessel to be distilled</w:t>
            </w:r>
          </w:p>
          <w:p w:rsidR="00000000" w:rsidRPr="00064ADB" w:rsidP="00064ADB">
            <w:pPr>
              <w:pStyle w:val="ListBullet2"/>
            </w:pPr>
            <w:r w:rsidRPr="00064ADB">
              <w:t>taking dips of low wine product</w:t>
            </w:r>
          </w:p>
          <w:p w:rsidR="00000000" w:rsidRPr="00064ADB" w:rsidP="00064ADB">
            <w:pPr>
              <w:pStyle w:val="ListBullet2"/>
            </w:pPr>
            <w:r w:rsidRPr="00064ADB">
              <w:t>testing low wine product</w:t>
            </w:r>
          </w:p>
          <w:p w:rsidR="00000000" w:rsidRPr="00064ADB" w:rsidP="00064ADB">
            <w:pPr>
              <w:pStyle w:val="ListBullet"/>
            </w:pPr>
            <w:r w:rsidRPr="00064ADB">
              <w:t>confirm equipment status and condition. This may include checking:</w:t>
            </w:r>
          </w:p>
          <w:p w:rsidR="00000000" w:rsidRPr="00064ADB" w:rsidP="00064ADB">
            <w:pPr>
              <w:pStyle w:val="ListBullet2"/>
            </w:pPr>
            <w:r w:rsidRPr="00064ADB">
              <w:t>water flow to condensers</w:t>
            </w:r>
          </w:p>
          <w:p w:rsidR="00000000" w:rsidRPr="00064ADB" w:rsidP="00064ADB">
            <w:pPr>
              <w:pStyle w:val="ListBullet2"/>
            </w:pPr>
            <w:r w:rsidRPr="00064ADB">
              <w:t>receiver vessels for heads, heart and tails</w:t>
            </w:r>
          </w:p>
          <w:p w:rsidR="00000000" w:rsidRPr="00064ADB" w:rsidP="00064ADB">
            <w:pPr>
              <w:pStyle w:val="ListBullet2"/>
            </w:pPr>
            <w:r w:rsidRPr="00064ADB">
              <w:t>pot is empty</w:t>
            </w:r>
          </w:p>
          <w:p w:rsidR="00000000" w:rsidRPr="00064ADB" w:rsidP="00064ADB">
            <w:pPr>
              <w:pStyle w:val="ListBullet2"/>
            </w:pPr>
            <w:r w:rsidRPr="00064ADB">
              <w:t>discharge valve is shut</w:t>
            </w:r>
          </w:p>
          <w:p w:rsidR="00000000" w:rsidRPr="00064ADB" w:rsidP="00064ADB">
            <w:pPr>
              <w:pStyle w:val="ListBullet2"/>
            </w:pPr>
            <w:r w:rsidRPr="00064ADB">
              <w:t>pump operation</w:t>
            </w:r>
          </w:p>
          <w:p w:rsidR="00000000" w:rsidRPr="00064ADB" w:rsidP="00064ADB">
            <w:pPr>
              <w:pStyle w:val="ListBullet2"/>
            </w:pPr>
            <w:r w:rsidRPr="00064ADB">
              <w:t>integrity of lines and fittings</w:t>
            </w:r>
          </w:p>
          <w:p w:rsidR="00000000" w:rsidRPr="00064ADB" w:rsidP="00064ADB">
            <w:pPr>
              <w:pStyle w:val="ListBullet"/>
            </w:pPr>
            <w:r w:rsidRPr="00064ADB">
              <w:t>set up and start up the process. This will include any tests or procedures required to meet Customs and Excise regulations</w:t>
            </w:r>
          </w:p>
          <w:p w:rsidR="00000000" w:rsidRPr="00064ADB" w:rsidP="00064ADB">
            <w:pPr>
              <w:pStyle w:val="ListBullet"/>
            </w:pPr>
            <w:r w:rsidRPr="00064ADB">
              <w:t>moni</w:t>
            </w:r>
            <w:r w:rsidRPr="00064ADB">
              <w:t>tor the process and equipment operation to identify out-of-specification results or non-compliance. This may involve monitoring:</w:t>
            </w:r>
          </w:p>
          <w:p w:rsidR="00000000" w:rsidRPr="00064ADB" w:rsidP="00064ADB">
            <w:pPr>
              <w:pStyle w:val="ListBullet2"/>
            </w:pPr>
            <w:r w:rsidRPr="00064ADB">
              <w:t>valves</w:t>
            </w:r>
          </w:p>
          <w:p w:rsidR="00000000" w:rsidRPr="00064ADB" w:rsidP="00064ADB">
            <w:pPr>
              <w:pStyle w:val="ListBullet2"/>
            </w:pPr>
            <w:r w:rsidRPr="00064ADB">
              <w:t>cooling water flow rates to condensers</w:t>
            </w:r>
          </w:p>
          <w:p w:rsidR="00000000" w:rsidRPr="00064ADB" w:rsidP="00064ADB">
            <w:pPr>
              <w:pStyle w:val="ListBullet2"/>
            </w:pPr>
            <w:r w:rsidRPr="00064ADB">
              <w:t>volume of charge</w:t>
            </w:r>
          </w:p>
          <w:p w:rsidR="00000000" w:rsidRPr="00064ADB" w:rsidP="00064ADB">
            <w:pPr>
              <w:pStyle w:val="ListBullet2"/>
            </w:pPr>
            <w:r w:rsidRPr="00064ADB">
              <w:t>temperature of distillate</w:t>
            </w:r>
          </w:p>
          <w:p w:rsidR="00000000" w:rsidRPr="00064ADB" w:rsidP="00064ADB">
            <w:pPr>
              <w:pStyle w:val="ListBullet2"/>
            </w:pPr>
            <w:r w:rsidRPr="00064ADB">
              <w:t>alcoholic strength of distillate</w:t>
            </w:r>
          </w:p>
          <w:p w:rsidR="00000000" w:rsidRPr="00064ADB" w:rsidP="00064ADB">
            <w:pPr>
              <w:pStyle w:val="ListBullet2"/>
            </w:pPr>
            <w:r w:rsidRPr="00064ADB">
              <w:t>heat source</w:t>
            </w:r>
          </w:p>
          <w:p w:rsidR="00000000" w:rsidRPr="00064ADB" w:rsidP="00064ADB">
            <w:pPr>
              <w:pStyle w:val="ListBullet2"/>
            </w:pPr>
            <w:r w:rsidRPr="00064ADB">
              <w:t>receivers for distillation products</w:t>
            </w:r>
          </w:p>
          <w:p w:rsidR="00000000" w:rsidRPr="00064ADB" w:rsidP="00064ADB">
            <w:pPr>
              <w:pStyle w:val="ListBullet2"/>
            </w:pPr>
            <w:r w:rsidRPr="00064ADB">
              <w:t>pressure of still</w:t>
            </w:r>
          </w:p>
          <w:p w:rsidR="00000000" w:rsidRPr="00064ADB" w:rsidP="00064ADB">
            <w:pPr>
              <w:pStyle w:val="ListBullet2"/>
            </w:pPr>
            <w:r w:rsidRPr="00064ADB">
              <w:t>condensate rate or flow (speed)</w:t>
            </w:r>
          </w:p>
          <w:p w:rsidR="00000000" w:rsidRPr="00064ADB" w:rsidP="00064ADB">
            <w:pPr>
              <w:pStyle w:val="ListBullet2"/>
            </w:pPr>
            <w:r w:rsidRPr="00064ADB">
              <w:t>condenser and/or brandy ball temperature</w:t>
            </w:r>
          </w:p>
          <w:p w:rsidR="00000000" w:rsidRPr="00064ADB" w:rsidP="00064ADB">
            <w:pPr>
              <w:pStyle w:val="ListBullet2"/>
            </w:pPr>
            <w:r w:rsidRPr="00064ADB">
              <w:t>safety and vacuum valves</w:t>
            </w:r>
          </w:p>
          <w:p w:rsidR="00000000" w:rsidRPr="00064ADB" w:rsidP="00064ADB">
            <w:pPr>
              <w:pStyle w:val="ListBullet"/>
            </w:pPr>
            <w:r w:rsidRPr="00064ADB">
              <w:t>monitor supply and flow of product, materials and services to and from the process</w:t>
            </w:r>
          </w:p>
          <w:p w:rsidR="00000000" w:rsidRPr="00064ADB" w:rsidP="00064ADB">
            <w:pPr>
              <w:pStyle w:val="ListBullet"/>
            </w:pPr>
            <w:r w:rsidRPr="00064ADB">
              <w:t>take cor</w:t>
            </w:r>
            <w:r w:rsidRPr="00064ADB">
              <w:t>rective action in response to out-of-specification results or non-compliance</w:t>
            </w:r>
          </w:p>
          <w:p w:rsidR="00000000" w:rsidRPr="00064ADB" w:rsidP="00064ADB">
            <w:pPr>
              <w:pStyle w:val="ListBullet"/>
            </w:pPr>
            <w:r w:rsidRPr="00064ADB">
              <w:t>report and/or record corrective action as required</w:t>
            </w:r>
          </w:p>
          <w:p w:rsidR="00000000" w:rsidRPr="00064ADB" w:rsidP="00064ADB">
            <w:pPr>
              <w:pStyle w:val="ListBullet"/>
            </w:pPr>
            <w:r w:rsidRPr="00064ADB">
              <w:t>conduct product or batch changeovers</w:t>
            </w:r>
          </w:p>
          <w:p w:rsidR="00000000" w:rsidRPr="00064ADB" w:rsidP="00064ADB">
            <w:pPr>
              <w:pStyle w:val="ListBullet"/>
            </w:pPr>
            <w:r w:rsidRPr="00064ADB">
              <w:t>take samples and conduct tests</w:t>
            </w:r>
          </w:p>
          <w:p w:rsidR="00000000" w:rsidRPr="00064ADB" w:rsidP="00064ADB">
            <w:pPr>
              <w:pStyle w:val="ListBullet"/>
            </w:pPr>
            <w:r w:rsidRPr="00064ADB">
              <w:t>shut down equipment in response to an emergency situation</w:t>
            </w:r>
          </w:p>
          <w:p w:rsidR="00000000" w:rsidRPr="00064ADB" w:rsidP="00064ADB">
            <w:pPr>
              <w:pStyle w:val="ListBullet"/>
            </w:pPr>
            <w:r w:rsidRPr="00064ADB">
              <w:t>shut down equipment in response to routine shutdown requirements. This may include:</w:t>
            </w:r>
          </w:p>
          <w:p w:rsidR="00000000" w:rsidRPr="00064ADB" w:rsidP="00064ADB">
            <w:pPr>
              <w:pStyle w:val="ListBullet2"/>
            </w:pPr>
            <w:r w:rsidRPr="00064ADB">
              <w:t>shutting off steam</w:t>
            </w:r>
          </w:p>
          <w:p w:rsidR="00000000" w:rsidRPr="00064ADB" w:rsidP="00064ADB">
            <w:pPr>
              <w:pStyle w:val="ListBullet2"/>
            </w:pPr>
            <w:r w:rsidRPr="00064ADB">
              <w:t>shutting off water to condenser and brandy ball</w:t>
            </w:r>
          </w:p>
          <w:p w:rsidR="00000000" w:rsidRPr="00064ADB" w:rsidP="00064ADB">
            <w:pPr>
              <w:pStyle w:val="ListBullet2"/>
            </w:pPr>
            <w:r w:rsidRPr="00064ADB">
              <w:t>checking for presence of vapour in pot</w:t>
            </w:r>
          </w:p>
          <w:p w:rsidR="00000000" w:rsidRPr="00064ADB" w:rsidP="00064ADB">
            <w:pPr>
              <w:pStyle w:val="ListBullet2"/>
            </w:pPr>
            <w:r w:rsidRPr="00064ADB">
              <w:t>discharging waste to effluent system</w:t>
            </w:r>
          </w:p>
          <w:p w:rsidR="00000000" w:rsidRPr="00064ADB" w:rsidP="00064ADB">
            <w:pPr>
              <w:pStyle w:val="ListBullet"/>
            </w:pPr>
            <w:r w:rsidRPr="00064ADB">
              <w:t>prepare equipment for clean</w:t>
            </w:r>
            <w:r w:rsidRPr="00064ADB">
              <w:t>ing. This may involve draining and/or dismantling equipment, removing waste either manually or by rinsing in preparation for cleaning and sanitation.</w:t>
            </w:r>
          </w:p>
          <w:p w:rsidR="00000000" w:rsidRPr="00064ADB" w:rsidP="00064ADB">
            <w:pPr>
              <w:pStyle w:val="ListBullet"/>
            </w:pPr>
            <w:r w:rsidRPr="00064ADB">
              <w:t>record workplace information. This will include meeting the requirements of Customs and Excise regulations</w:t>
            </w:r>
          </w:p>
          <w:p w:rsidR="00000000" w:rsidRPr="00064ADB" w:rsidP="00064ADB">
            <w:pPr>
              <w:pStyle w:val="ListBullet"/>
            </w:pPr>
            <w:r w:rsidRPr="00064ADB">
              <w:t>maintain work area to meet housekeeping standards</w:t>
            </w:r>
          </w:p>
          <w:p w:rsidR="00000000" w:rsidRPr="00064ADB" w:rsidP="00064ADB">
            <w:pPr>
              <w:pStyle w:val="ListBullet"/>
            </w:pPr>
            <w:r w:rsidRPr="00064ADB">
              <w:t>ensure that all Customs and Excise regulations are adhered to</w:t>
            </w:r>
          </w:p>
          <w:p w:rsidR="00000000" w:rsidRPr="00064ADB" w:rsidP="00064ADB">
            <w:pPr>
              <w:pStyle w:val="ListBullet"/>
            </w:pPr>
            <w:r w:rsidRPr="00064ADB">
              <w:t>sort, collect, treat, recycle or dispose of waste according to enterprise procedures</w:t>
            </w:r>
          </w:p>
          <w:p w:rsidR="00000000" w:rsidRPr="00064ADB" w:rsidP="00064ADB">
            <w:pPr>
              <w:pStyle w:val="ListBullet"/>
            </w:pPr>
            <w:r w:rsidRPr="00064ADB">
              <w:t>carry out routine maintenance according to enterprise procedures</w:t>
            </w:r>
          </w:p>
          <w:p w:rsidR="00000000" w:rsidRPr="00064ADB" w:rsidP="00064ADB">
            <w:pPr>
              <w:pStyle w:val="ListBullet"/>
            </w:pPr>
            <w:r w:rsidRPr="00064ADB">
              <w:t>perform transfer operations according to enterprise procedures</w:t>
            </w:r>
          </w:p>
          <w:p w:rsidR="00000000" w:rsidRPr="00064ADB" w:rsidP="00064ADB">
            <w:pPr>
              <w:pStyle w:val="ListBullet"/>
            </w:pPr>
            <w:r w:rsidRPr="00064ADB">
              <w:t xml:space="preserve">identify, rectify and/or report environmental non-compliance according to enterprise procedures </w:t>
            </w:r>
          </w:p>
          <w:p w:rsidR="00000000" w:rsidRPr="00064ADB" w:rsidP="00064ADB">
            <w:pPr>
              <w:pStyle w:val="ListBullet"/>
            </w:pPr>
            <w:r w:rsidRPr="00064ADB">
              <w:t>use oral communication skills/l</w:t>
            </w:r>
            <w:r w:rsidRPr="00064ADB">
              <w:t>anguage to fulfil the job role as specified by the organisation, including questioning, active listening, asking for clarification and seeking advice from supervisor</w:t>
            </w:r>
          </w:p>
          <w:p w:rsidR="00000000" w:rsidP="00064ADB">
            <w:pPr>
              <w:pStyle w:val="ListBullet"/>
              <w:rPr>
                <w:lang w:val="en-NZ"/>
              </w:rPr>
            </w:pPr>
            <w:r w:rsidRPr="00064ADB">
              <w:t xml:space="preserve">work cooperatively within a culturally diverse workforce </w:t>
            </w:r>
          </w:p>
        </w:tc>
      </w:tr>
      <w:tr w:rsidTr="00064ADB">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064ADB">
            <w:pPr>
              <w:pStyle w:val="TableHeading"/>
            </w:pPr>
            <w:r w:rsidRPr="00064ADB">
              <w:t>Required knowledge includes:</w:t>
            </w:r>
          </w:p>
        </w:tc>
      </w:tr>
      <w:tr w:rsidTr="00064ADB">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064ADB" w:rsidP="00064ADB">
            <w:pPr>
              <w:pStyle w:val="BodyText"/>
            </w:pPr>
            <w:r w:rsidRPr="00064ADB">
              <w:t>N</w:t>
            </w:r>
            <w:r w:rsidRPr="00064ADB">
              <w:t>ote: The following required knowledge should be applied as appropriate to the equipment and processes that are used in the particular winery or workplace.</w:t>
            </w:r>
          </w:p>
          <w:p w:rsidR="00000000" w:rsidRPr="00064ADB" w:rsidP="00064ADB">
            <w:pPr>
              <w:pStyle w:val="BodyText"/>
            </w:pPr>
            <w:r w:rsidRPr="00064ADB">
              <w:rPr>
                <w:rStyle w:val="SpecialBold"/>
              </w:rPr>
              <w:t>Knowledge of:</w:t>
            </w:r>
          </w:p>
          <w:p w:rsidR="00000000" w:rsidRPr="00064ADB" w:rsidP="00064ADB">
            <w:pPr>
              <w:pStyle w:val="ListBullet"/>
            </w:pPr>
            <w:r w:rsidRPr="00064ADB">
              <w:t xml:space="preserve">purpose and principles of second distillation operations, including definition of the </w:t>
            </w:r>
            <w:r w:rsidRPr="00064ADB">
              <w:t>following terms:</w:t>
            </w:r>
          </w:p>
          <w:p w:rsidR="00000000" w:rsidRPr="00064ADB" w:rsidP="00064ADB">
            <w:pPr>
              <w:pStyle w:val="ListBullet2"/>
            </w:pPr>
            <w:r w:rsidRPr="00064ADB">
              <w:t>second distillation</w:t>
            </w:r>
          </w:p>
          <w:p w:rsidR="00000000" w:rsidRPr="00064ADB" w:rsidP="00064ADB">
            <w:pPr>
              <w:pStyle w:val="ListBullet2"/>
            </w:pPr>
            <w:r w:rsidRPr="00064ADB">
              <w:t>heads or feints</w:t>
            </w:r>
          </w:p>
          <w:p w:rsidR="00000000" w:rsidRPr="00064ADB" w:rsidP="00064ADB">
            <w:pPr>
              <w:pStyle w:val="ListBullet2"/>
            </w:pPr>
            <w:r w:rsidRPr="00064ADB">
              <w:t>heart</w:t>
            </w:r>
          </w:p>
          <w:p w:rsidR="00000000" w:rsidRPr="00064ADB" w:rsidP="00064ADB">
            <w:pPr>
              <w:pStyle w:val="ListBullet2"/>
            </w:pPr>
            <w:r w:rsidRPr="00064ADB">
              <w:t>tails or oils (higher alcohols)</w:t>
            </w:r>
          </w:p>
          <w:p w:rsidR="00000000" w:rsidRPr="00064ADB" w:rsidP="00064ADB">
            <w:pPr>
              <w:pStyle w:val="ListBullet2"/>
            </w:pPr>
            <w:r w:rsidRPr="00064ADB">
              <w:t>brandy spirit (Customs definition)</w:t>
            </w:r>
          </w:p>
          <w:p w:rsidR="00000000" w:rsidRPr="00064ADB" w:rsidP="00064ADB">
            <w:pPr>
              <w:pStyle w:val="ListBullet"/>
            </w:pPr>
            <w:r w:rsidRPr="00064ADB">
              <w:t>alcoholic content of distillation product and final product and legislative requirements</w:t>
            </w:r>
          </w:p>
          <w:p w:rsidR="00000000" w:rsidRPr="00064ADB" w:rsidP="00064ADB">
            <w:pPr>
              <w:pStyle w:val="ListBullet"/>
            </w:pPr>
            <w:r w:rsidRPr="00064ADB">
              <w:t>range of products produced by distillation process, including fortifying spirit, commercial and premium brandy</w:t>
            </w:r>
          </w:p>
          <w:p w:rsidR="00000000" w:rsidRPr="00064ADB" w:rsidP="00064ADB">
            <w:pPr>
              <w:pStyle w:val="ListBullet"/>
            </w:pPr>
            <w:r w:rsidRPr="00064ADB">
              <w:t>link to related processes. This will include the preparation of the product to be distilled and any further processing requirements of the distil</w:t>
            </w:r>
            <w:r w:rsidRPr="00064ADB">
              <w:t>late</w:t>
            </w:r>
          </w:p>
          <w:p w:rsidR="00000000" w:rsidRPr="00064ADB" w:rsidP="00064ADB">
            <w:pPr>
              <w:pStyle w:val="ListBullet"/>
            </w:pPr>
            <w:r w:rsidRPr="00064ADB">
              <w:t>stages and changes which occur during distillation. This will include critical temperatures, alcoholic strength and specific components affected</w:t>
            </w:r>
          </w:p>
          <w:p w:rsidR="00000000" w:rsidRPr="00064ADB" w:rsidP="00064ADB">
            <w:pPr>
              <w:pStyle w:val="ListBullet"/>
            </w:pPr>
            <w:r w:rsidRPr="00064ADB">
              <w:t>effect of process stages on distillate and by-products</w:t>
            </w:r>
          </w:p>
          <w:p w:rsidR="00000000" w:rsidRPr="00064ADB" w:rsidP="00064ADB">
            <w:pPr>
              <w:pStyle w:val="ListBullet"/>
            </w:pPr>
            <w:r w:rsidRPr="00064ADB">
              <w:t>quality characteristics and uses of a range of dist</w:t>
            </w:r>
            <w:r w:rsidRPr="00064ADB">
              <w:t>illation products including fortifying spirit, commercial and premium brandy</w:t>
            </w:r>
          </w:p>
          <w:p w:rsidR="00000000" w:rsidRPr="00064ADB" w:rsidP="00064ADB">
            <w:pPr>
              <w:pStyle w:val="ListBullet"/>
            </w:pPr>
            <w:r w:rsidRPr="00064ADB">
              <w:t>product and materials preparation requirements and effect of variation on the process</w:t>
            </w:r>
          </w:p>
          <w:p w:rsidR="00000000" w:rsidRPr="00064ADB" w:rsidP="00064ADB">
            <w:pPr>
              <w:pStyle w:val="ListBullet"/>
            </w:pPr>
            <w:r w:rsidRPr="00064ADB">
              <w:t>process specifications, procedures and operating parameters. This may include:</w:t>
            </w:r>
          </w:p>
          <w:p w:rsidR="00000000" w:rsidRPr="00064ADB" w:rsidP="00064ADB">
            <w:pPr>
              <w:pStyle w:val="ListBullet2"/>
            </w:pPr>
            <w:r w:rsidRPr="00064ADB">
              <w:t>individual st</w:t>
            </w:r>
            <w:r w:rsidRPr="00064ADB">
              <w:t>ill capacities</w:t>
            </w:r>
          </w:p>
          <w:p w:rsidR="00000000" w:rsidRPr="00064ADB" w:rsidP="00064ADB">
            <w:pPr>
              <w:pStyle w:val="ListBullet2"/>
            </w:pPr>
            <w:r w:rsidRPr="00064ADB">
              <w:t>boiler pressure</w:t>
            </w:r>
          </w:p>
          <w:p w:rsidR="00000000" w:rsidRPr="00064ADB" w:rsidP="00064ADB">
            <w:pPr>
              <w:pStyle w:val="ListBullet2"/>
            </w:pPr>
            <w:r w:rsidRPr="00064ADB">
              <w:t>alcoholic strength</w:t>
            </w:r>
          </w:p>
          <w:p w:rsidR="00000000" w:rsidRPr="00064ADB" w:rsidP="00064ADB">
            <w:pPr>
              <w:pStyle w:val="ListBullet2"/>
            </w:pPr>
            <w:r w:rsidRPr="00064ADB">
              <w:t>temperatures</w:t>
            </w:r>
          </w:p>
          <w:p w:rsidR="00000000" w:rsidRPr="00064ADB" w:rsidP="00064ADB">
            <w:pPr>
              <w:pStyle w:val="ListBullet2"/>
            </w:pPr>
            <w:r w:rsidRPr="00064ADB">
              <w:t>winemakers specifications</w:t>
            </w:r>
          </w:p>
          <w:p w:rsidR="00000000" w:rsidRPr="00064ADB" w:rsidP="00064ADB">
            <w:pPr>
              <w:pStyle w:val="ListBullet"/>
            </w:pPr>
            <w:r w:rsidRPr="00064ADB">
              <w:t>equipment and instrumentation components, purpose and operation</w:t>
            </w:r>
          </w:p>
          <w:p w:rsidR="00000000" w:rsidRPr="00064ADB" w:rsidP="00064ADB">
            <w:pPr>
              <w:pStyle w:val="ListBullet"/>
            </w:pPr>
            <w:r w:rsidRPr="00064ADB">
              <w:t>basic operating principles of process control systems where relevant</w:t>
            </w:r>
          </w:p>
          <w:p w:rsidR="00000000" w:rsidRPr="00064ADB" w:rsidP="00064ADB">
            <w:pPr>
              <w:pStyle w:val="ListBullet"/>
            </w:pPr>
            <w:r w:rsidRPr="00064ADB">
              <w:t>sampling and testing procedures</w:t>
            </w:r>
          </w:p>
          <w:p w:rsidR="00000000" w:rsidRPr="00064ADB" w:rsidP="00064ADB">
            <w:pPr>
              <w:pStyle w:val="ListBullet"/>
            </w:pPr>
            <w:r w:rsidRPr="00064ADB">
              <w:t>services used</w:t>
            </w:r>
          </w:p>
          <w:p w:rsidR="00000000" w:rsidRPr="00064ADB" w:rsidP="00064ADB">
            <w:pPr>
              <w:pStyle w:val="ListBullet"/>
            </w:pPr>
            <w:r w:rsidRPr="00064ADB">
              <w:t>significance and method of monitoring control points within the process</w:t>
            </w:r>
          </w:p>
          <w:p w:rsidR="00000000" w:rsidRPr="00064ADB" w:rsidP="00064ADB">
            <w:pPr>
              <w:pStyle w:val="ListBullet"/>
            </w:pPr>
            <w:r w:rsidRPr="00064ADB">
              <w:t>common causes of variation and corrective action required</w:t>
            </w:r>
          </w:p>
          <w:p w:rsidR="00000000" w:rsidRPr="00064ADB" w:rsidP="00064ADB">
            <w:pPr>
              <w:pStyle w:val="ListBullet"/>
            </w:pPr>
            <w:r w:rsidRPr="00064ADB">
              <w:t>Occupational Health and Safety (OHS) hazards and controls. This will include:</w:t>
            </w:r>
          </w:p>
          <w:p w:rsidR="00000000" w:rsidRPr="00064ADB" w:rsidP="00064ADB">
            <w:pPr>
              <w:pStyle w:val="ListBullet2"/>
            </w:pPr>
            <w:r w:rsidRPr="00064ADB">
              <w:t>the dangerous properties of ethyl</w:t>
            </w:r>
            <w:r w:rsidRPr="00064ADB">
              <w:t xml:space="preserve"> alcohol</w:t>
            </w:r>
          </w:p>
          <w:p w:rsidR="00000000" w:rsidRPr="00064ADB" w:rsidP="00064ADB">
            <w:pPr>
              <w:pStyle w:val="ListBullet2"/>
            </w:pPr>
            <w:r w:rsidRPr="00064ADB">
              <w:t>emergency flooding procedures</w:t>
            </w:r>
          </w:p>
          <w:p w:rsidR="00000000" w:rsidRPr="00064ADB" w:rsidP="00064ADB">
            <w:pPr>
              <w:pStyle w:val="ListBullet2"/>
            </w:pPr>
            <w:r w:rsidRPr="00064ADB">
              <w:t>emergency evacuation procedures</w:t>
            </w:r>
          </w:p>
          <w:p w:rsidR="00000000" w:rsidRPr="00064ADB" w:rsidP="00064ADB">
            <w:pPr>
              <w:pStyle w:val="ListBullet2"/>
            </w:pPr>
            <w:r w:rsidRPr="00064ADB">
              <w:t>handling procedures of spirits</w:t>
            </w:r>
          </w:p>
          <w:p w:rsidR="00000000" w:rsidRPr="00064ADB" w:rsidP="00064ADB">
            <w:pPr>
              <w:pStyle w:val="ListBullet"/>
            </w:pPr>
            <w:r w:rsidRPr="00064ADB">
              <w:t>lock-out and tag-out procedures</w:t>
            </w:r>
          </w:p>
          <w:p w:rsidR="00000000" w:rsidRPr="00064ADB" w:rsidP="00064ADB">
            <w:pPr>
              <w:pStyle w:val="ListBullet"/>
            </w:pPr>
            <w:r w:rsidRPr="00064ADB">
              <w:t>procedures and responsibility for reporting problems</w:t>
            </w:r>
          </w:p>
          <w:p w:rsidR="00000000" w:rsidRPr="00064ADB" w:rsidP="00064ADB">
            <w:pPr>
              <w:pStyle w:val="ListBullet"/>
            </w:pPr>
            <w:r w:rsidRPr="00064ADB">
              <w:t>environmental issues and controls</w:t>
            </w:r>
          </w:p>
          <w:p w:rsidR="00000000" w:rsidRPr="00064ADB" w:rsidP="00064ADB">
            <w:pPr>
              <w:pStyle w:val="ListBullet"/>
            </w:pPr>
            <w:r w:rsidRPr="00064ADB">
              <w:t>shutdown and cleaning requirements associated with changeovers and types of shutdowns</w:t>
            </w:r>
          </w:p>
          <w:p w:rsidR="00000000" w:rsidRPr="00064ADB" w:rsidP="00064ADB">
            <w:pPr>
              <w:pStyle w:val="ListBullet"/>
            </w:pPr>
            <w:r w:rsidRPr="00064ADB">
              <w:t>recording requirements and procedures</w:t>
            </w:r>
          </w:p>
          <w:p w:rsidR="00000000" w:rsidRPr="00064ADB" w:rsidP="00064ADB">
            <w:pPr>
              <w:pStyle w:val="ListBullet"/>
            </w:pPr>
            <w:r w:rsidRPr="00064ADB">
              <w:t>operational knowledge of Customs and Excise regulations</w:t>
            </w:r>
          </w:p>
          <w:p w:rsidR="00000000" w:rsidRPr="00064ADB" w:rsidP="00064ADB">
            <w:pPr>
              <w:pStyle w:val="ListBullet"/>
            </w:pPr>
            <w:r w:rsidRPr="00064ADB">
              <w:t>waste handling requirements and procedures where relevant</w:t>
            </w:r>
          </w:p>
          <w:p w:rsidR="00000000" w:rsidRPr="00064ADB" w:rsidP="00064ADB">
            <w:pPr>
              <w:pStyle w:val="ListBullet"/>
            </w:pPr>
            <w:r w:rsidRPr="00064ADB">
              <w:t>routine maintenanc</w:t>
            </w:r>
            <w:r w:rsidRPr="00064ADB">
              <w:t xml:space="preserve">e procedures where relevant </w:t>
            </w:r>
          </w:p>
          <w:p w:rsidR="00000000" w:rsidRPr="00064ADB" w:rsidP="00064ADB">
            <w:pPr>
              <w:pStyle w:val="ListBullet"/>
            </w:pPr>
            <w:r w:rsidRPr="00064ADB">
              <w:t xml:space="preserve">transfer procedures where relevant </w:t>
            </w:r>
          </w:p>
        </w:tc>
      </w:tr>
    </w:tbl>
    <w:p w:rsidR="00000000" w:rsidRPr="00064ADB" w:rsidP="00064ADB">
      <w:pPr>
        <w:pStyle w:val="BodyText"/>
      </w:pPr>
    </w:p>
    <w:p w:rsidR="00000000" w:rsidRPr="00064ADB" w:rsidP="00064ADB">
      <w:pPr>
        <w:pStyle w:val="AllowPageBreak"/>
      </w:pPr>
    </w:p>
    <w:p w:rsidR="00000000" w:rsidRPr="00064ADB" w:rsidP="00064ADB">
      <w:pPr>
        <w:pStyle w:val="Heading1"/>
      </w:pPr>
      <w:bookmarkStart w:id="10" w:name="O_449712"/>
      <w:bookmarkEnd w:id="10"/>
      <w:r w:rsidRPr="00064ADB">
        <w:t>Evidence Guide</w:t>
      </w:r>
    </w:p>
    <w:tbl>
      <w:tblPr>
        <w:tblW w:w="9462" w:type="dxa"/>
        <w:tblLayout w:type="fixed"/>
        <w:tblCellMar>
          <w:left w:w="62" w:type="dxa"/>
          <w:right w:w="62" w:type="dxa"/>
        </w:tblCellMar>
        <w:tblLook w:val="0000"/>
      </w:tblPr>
      <w:tblGrid>
        <w:gridCol w:w="3800"/>
        <w:gridCol w:w="5662"/>
      </w:tblGrid>
      <w:tr w:rsidTr="00064ADB">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64ADB">
            <w:pPr>
              <w:pStyle w:val="TableHeading"/>
            </w:pPr>
            <w:r w:rsidRPr="00064ADB">
              <w:t>EVIDENCE GUIDE</w:t>
            </w:r>
          </w:p>
        </w:tc>
      </w:tr>
      <w:tr w:rsidTr="00064ADB">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64ADB">
            <w:pPr>
              <w:pStyle w:val="BodyText"/>
              <w:rPr>
                <w:lang w:val="en-NZ"/>
              </w:rPr>
            </w:pPr>
            <w:r w:rsidRPr="00064ADB">
              <w:t>The evidence guide provides advice on assessment and must be read in conjunction with the performance criteria, required skills and knowledge, range statement and the Assessment Guidelines for the Training Package.</w:t>
            </w:r>
          </w:p>
        </w:tc>
      </w:tr>
      <w:tr w:rsidTr="00064AD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4ADB">
            <w:pPr>
              <w:pStyle w:val="BodyText"/>
              <w:rPr>
                <w:lang w:val="en-NZ"/>
              </w:rPr>
            </w:pPr>
            <w:r w:rsidRPr="00064ADB">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4ADB">
            <w:pPr>
              <w:pStyle w:val="BodyText"/>
              <w:rPr>
                <w:lang w:val="en-NZ"/>
              </w:rPr>
            </w:pPr>
            <w:r w:rsidRPr="00064ADB">
              <w:t>Assessment must be carried out in a manner that recognises the cultural and literacy requirements of the assessee and is appropriate to the work performed. Competence in this unit must be achieved in accordance with food safety standards and regulations.</w:t>
            </w:r>
          </w:p>
        </w:tc>
      </w:tr>
      <w:tr w:rsidTr="00064AD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4ADB">
            <w:pPr>
              <w:pStyle w:val="BodyText"/>
              <w:rPr>
                <w:lang w:val="en-NZ"/>
              </w:rPr>
            </w:pPr>
            <w:r w:rsidRPr="00064ADB">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4ADB" w:rsidP="00064ADB">
            <w:pPr>
              <w:pStyle w:val="BodyText"/>
            </w:pPr>
            <w:r w:rsidRPr="00064ADB">
              <w:t>Evidence of ability to:</w:t>
            </w:r>
          </w:p>
          <w:p w:rsidR="00000000" w:rsidRPr="00064ADB" w:rsidP="00064ADB">
            <w:pPr>
              <w:pStyle w:val="ListBullet"/>
            </w:pPr>
            <w:r w:rsidRPr="00064ADB">
              <w:t xml:space="preserve">use personal protective equipment and follow other specified OHS procedures </w:t>
            </w:r>
          </w:p>
          <w:p w:rsidR="00000000" w:rsidRPr="00064ADB" w:rsidP="00064ADB">
            <w:pPr>
              <w:pStyle w:val="ListBullet"/>
            </w:pPr>
            <w:r w:rsidRPr="00064ADB">
              <w:t>prepare low wine for distillation, including checks for tempe</w:t>
            </w:r>
            <w:r w:rsidRPr="00064ADB">
              <w:t>rature and alcoholic strength and undertaking any required heating of low wine</w:t>
            </w:r>
          </w:p>
          <w:p w:rsidR="00000000" w:rsidRPr="00064ADB" w:rsidP="00064ADB">
            <w:pPr>
              <w:pStyle w:val="ListBullet"/>
            </w:pPr>
            <w:r w:rsidRPr="00064ADB">
              <w:t>prepare and confirm status of equipment before commencing second distillation</w:t>
            </w:r>
          </w:p>
          <w:p w:rsidR="00000000" w:rsidRPr="00064ADB" w:rsidP="00064ADB">
            <w:pPr>
              <w:pStyle w:val="ListBullet"/>
            </w:pPr>
            <w:r w:rsidRPr="00064ADB">
              <w:t>monitor distillation process control points and equipment, including taking of samples and conducti</w:t>
            </w:r>
            <w:r w:rsidRPr="00064ADB">
              <w:t>ng of tests</w:t>
            </w:r>
          </w:p>
          <w:p w:rsidR="00000000" w:rsidRPr="00064ADB" w:rsidP="00064ADB">
            <w:pPr>
              <w:pStyle w:val="ListBullet"/>
            </w:pPr>
            <w:r w:rsidRPr="00064ADB">
              <w:t>take corrective action in response to out-of-specification results or non-compliance</w:t>
            </w:r>
          </w:p>
          <w:p w:rsidR="00000000" w:rsidRPr="00064ADB" w:rsidP="00064ADB">
            <w:pPr>
              <w:pStyle w:val="ListBullet"/>
            </w:pPr>
            <w:r w:rsidRPr="00064ADB">
              <w:t>perform routine and emergency shutdowns</w:t>
            </w:r>
          </w:p>
          <w:p w:rsidR="00000000" w:rsidRPr="00064ADB" w:rsidP="00064ADB">
            <w:pPr>
              <w:pStyle w:val="ListBullet"/>
            </w:pPr>
            <w:r w:rsidRPr="00064ADB">
              <w:t>demonstrate knowledge of OHS hazards, controls and emergency procedures</w:t>
            </w:r>
          </w:p>
          <w:p w:rsidR="00000000" w:rsidRPr="00064ADB" w:rsidP="00064ADB">
            <w:pPr>
              <w:pStyle w:val="ListBullet"/>
            </w:pPr>
            <w:r w:rsidRPr="00064ADB">
              <w:t>adhere to Customs and Excise regulations</w:t>
            </w:r>
          </w:p>
          <w:p w:rsidR="00000000" w:rsidP="00064ADB">
            <w:pPr>
              <w:pStyle w:val="ListBullet"/>
              <w:rPr>
                <w:lang w:val="en-NZ"/>
              </w:rPr>
            </w:pPr>
            <w:r w:rsidRPr="00064ADB">
              <w:t>record information appropriately.</w:t>
            </w:r>
          </w:p>
        </w:tc>
      </w:tr>
      <w:tr w:rsidTr="00064AD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4ADB">
            <w:pPr>
              <w:pStyle w:val="BodyText"/>
              <w:rPr>
                <w:lang w:val="en-NZ"/>
              </w:rPr>
            </w:pPr>
            <w:r w:rsidRPr="00064ADB">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4ADB" w:rsidP="00064ADB">
            <w:pPr>
              <w:pStyle w:val="BodyText"/>
            </w:pPr>
            <w:r w:rsidRPr="00064ADB">
              <w:t>Assessment must occur in a real or simulated workplace where the assessee has access to:</w:t>
            </w:r>
          </w:p>
          <w:p w:rsidR="00000000" w:rsidRPr="00064ADB" w:rsidP="00064ADB">
            <w:pPr>
              <w:pStyle w:val="ListBullet"/>
            </w:pPr>
            <w:r w:rsidRPr="00064ADB">
              <w:t>personal protective clothing and equipment as required</w:t>
            </w:r>
          </w:p>
          <w:p w:rsidR="00000000" w:rsidRPr="00064ADB" w:rsidP="00064ADB">
            <w:pPr>
              <w:pStyle w:val="ListBullet"/>
            </w:pPr>
            <w:r w:rsidRPr="00064ADB">
              <w:t xml:space="preserve">work procedures, including </w:t>
            </w:r>
            <w:r w:rsidRPr="00064ADB">
              <w:t>advice on company practices, safe work practices, food safety, quality and environmental requirements</w:t>
            </w:r>
          </w:p>
          <w:p w:rsidR="00000000" w:rsidRPr="00064ADB" w:rsidP="00064ADB">
            <w:pPr>
              <w:pStyle w:val="ListBullet"/>
            </w:pPr>
            <w:r w:rsidRPr="00064ADB">
              <w:t>instructions, information, specifications and schedules as required</w:t>
            </w:r>
          </w:p>
          <w:p w:rsidR="00000000" w:rsidRPr="00064ADB" w:rsidP="00064ADB">
            <w:pPr>
              <w:pStyle w:val="ListBullet"/>
            </w:pPr>
            <w:r w:rsidRPr="00064ADB">
              <w:t>equipment, services and corresponding information as required</w:t>
            </w:r>
          </w:p>
          <w:p w:rsidR="00000000" w:rsidRPr="00064ADB" w:rsidP="00064ADB">
            <w:pPr>
              <w:pStyle w:val="ListBullet"/>
            </w:pPr>
            <w:r w:rsidRPr="00064ADB">
              <w:t>products and materials a</w:t>
            </w:r>
            <w:r w:rsidRPr="00064ADB">
              <w:t>s required</w:t>
            </w:r>
          </w:p>
          <w:p w:rsidR="00000000" w:rsidRPr="00064ADB" w:rsidP="00064ADB">
            <w:pPr>
              <w:pStyle w:val="ListBullet"/>
            </w:pPr>
            <w:r w:rsidRPr="00064ADB">
              <w:t>internal and external customers and suppliers as required</w:t>
            </w:r>
          </w:p>
          <w:p w:rsidR="00000000" w:rsidRPr="00064ADB" w:rsidP="00064ADB">
            <w:pPr>
              <w:pStyle w:val="ListBullet"/>
            </w:pPr>
            <w:r w:rsidRPr="00064ADB">
              <w:t>cleaning procedures, materials and equipment as required</w:t>
            </w:r>
          </w:p>
          <w:p w:rsidR="00000000" w:rsidP="00064ADB">
            <w:pPr>
              <w:pStyle w:val="ListBullet"/>
              <w:rPr>
                <w:lang w:val="en-NZ"/>
              </w:rPr>
            </w:pPr>
            <w:r w:rsidRPr="00064ADB">
              <w:t>documentation and recording requirements and procedures.</w:t>
            </w:r>
          </w:p>
        </w:tc>
      </w:tr>
      <w:tr w:rsidTr="00064AD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4ADB">
            <w:pPr>
              <w:pStyle w:val="BodyText"/>
              <w:rPr>
                <w:lang w:val="en-NZ"/>
              </w:rPr>
            </w:pPr>
            <w:r w:rsidRPr="00064ADB">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4ADB">
            <w:pPr>
              <w:pStyle w:val="BodyText"/>
              <w:rPr>
                <w:lang w:val="en-NZ"/>
              </w:rPr>
            </w:pPr>
            <w:r w:rsidRPr="00064ADB">
              <w:t xml:space="preserve">This unit should be assessed together with other units of competency relevant to the function or work role.  </w:t>
            </w:r>
          </w:p>
        </w:tc>
      </w:tr>
      <w:tr w:rsidTr="00064AD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4ADB">
            <w:pPr>
              <w:pStyle w:val="BodyText"/>
              <w:rPr>
                <w:lang w:val="en-NZ"/>
              </w:rPr>
            </w:pPr>
            <w:r w:rsidRPr="00064ADB">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4ADB" w:rsidP="00064ADB">
            <w:pPr>
              <w:pStyle w:val="BodyText"/>
            </w:pPr>
            <w:r w:rsidRPr="00064ADB">
              <w:t xml:space="preserve">To ensure consistency in one's performance, competence should be demonstrated on more than one occasion over </w:t>
            </w:r>
            <w:r w:rsidRPr="00064ADB">
              <w:t>a period of time in order to cover a variety of circumstances, cases and responsibilities, and where possible, over a number of assessment activities.</w:t>
            </w:r>
          </w:p>
        </w:tc>
      </w:tr>
    </w:tbl>
    <w:p w:rsidR="00706D7B" w:rsidP="00064ADB">
      <w:pPr>
        <w:pStyle w:val="BodyText"/>
      </w:pPr>
    </w:p>
    <w:p w:rsidR="00706D7B" w:rsidP="00064ADB">
      <w:pPr>
        <w:pStyle w:val="BodyText"/>
      </w:pPr>
    </w:p>
    <w:p w:rsidR="00000000" w:rsidRPr="00064ADB" w:rsidP="00064ADB">
      <w:pPr>
        <w:pStyle w:val="Heading1"/>
      </w:pPr>
      <w:bookmarkStart w:id="11" w:name="O_449707"/>
      <w:bookmarkEnd w:id="11"/>
      <w:r w:rsidRPr="00064ADB">
        <w:t>Range Statement</w:t>
      </w:r>
    </w:p>
    <w:tbl>
      <w:tblPr>
        <w:tblW w:w="9462" w:type="dxa"/>
        <w:tblLayout w:type="fixed"/>
        <w:tblCellMar>
          <w:left w:w="62" w:type="dxa"/>
          <w:right w:w="62" w:type="dxa"/>
        </w:tblCellMar>
        <w:tblLook w:val="0000"/>
      </w:tblPr>
      <w:tblGrid>
        <w:gridCol w:w="3800"/>
        <w:gridCol w:w="5662"/>
      </w:tblGrid>
      <w:tr w:rsidTr="00064ADB">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64ADB">
            <w:pPr>
              <w:pStyle w:val="TableHeading"/>
            </w:pPr>
            <w:r w:rsidRPr="00064ADB">
              <w:t>RANGE STATEMENT</w:t>
            </w:r>
          </w:p>
        </w:tc>
      </w:tr>
      <w:tr w:rsidTr="00064ADB">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64ADB">
            <w:pPr>
              <w:pStyle w:val="BodyText"/>
              <w:rPr>
                <w:lang w:val="en-NZ"/>
              </w:rPr>
            </w:pPr>
            <w:r w:rsidRPr="00064ADB">
              <w:t>The range statement relates to the unit of competency as a whole. It allows for different work environments and situations that may affect performance. Bold italicised wording, if used in the performance criteria, is detailed below. Essential operating con</w:t>
            </w:r>
            <w:r w:rsidRPr="00064ADB">
              <w:t>ditions that may be present with training and assessment (depending on the work situation, needs of the candidate, accessibility of the item, and local industry and regional contexts) may also be included.</w:t>
            </w:r>
          </w:p>
        </w:tc>
      </w:tr>
      <w:tr w:rsidTr="00064AD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4ADB">
            <w:pPr>
              <w:pStyle w:val="BodyText"/>
              <w:rPr>
                <w:lang w:val="en-NZ"/>
              </w:rPr>
            </w:pPr>
            <w:r w:rsidRPr="00064ADB">
              <w:rPr>
                <w:rStyle w:val="SpecialBold"/>
              </w:rPr>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4ADB">
            <w:pPr>
              <w:pStyle w:val="BodyText"/>
              <w:rPr>
                <w:lang w:val="en-NZ"/>
              </w:rPr>
            </w:pPr>
            <w:r w:rsidRPr="00064ADB">
              <w:t>Work is carried out in a</w:t>
            </w:r>
            <w:r w:rsidRPr="00064ADB">
              <w:t>ccordance with workplace procedures, licensing requirements and legislative requirements</w:t>
            </w:r>
          </w:p>
        </w:tc>
      </w:tr>
      <w:tr w:rsidTr="00064AD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4ADB">
            <w:pPr>
              <w:pStyle w:val="BodyText"/>
              <w:rPr>
                <w:lang w:val="en-NZ"/>
              </w:rPr>
            </w:pPr>
            <w:r w:rsidRPr="00064ADB">
              <w:rPr>
                <w:rStyle w:val="SpecialBold"/>
              </w:rPr>
              <w:t>Workplace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4ADB" w:rsidP="00064ADB">
            <w:pPr>
              <w:pStyle w:val="BodyText"/>
            </w:pPr>
            <w:r w:rsidRPr="00064ADB">
              <w:t>Workplace information can include:</w:t>
            </w:r>
          </w:p>
          <w:p w:rsidR="00000000" w:rsidRPr="00064ADB" w:rsidP="00064ADB">
            <w:pPr>
              <w:pStyle w:val="ListBullet"/>
            </w:pPr>
            <w:r w:rsidRPr="00064ADB">
              <w:t>Standard Operating Procedures (SOPs)</w:t>
            </w:r>
          </w:p>
          <w:p w:rsidR="00000000" w:rsidRPr="00064ADB" w:rsidP="00064ADB">
            <w:pPr>
              <w:pStyle w:val="ListBullet"/>
            </w:pPr>
            <w:r w:rsidRPr="00064ADB">
              <w:t>specifications</w:t>
            </w:r>
          </w:p>
          <w:p w:rsidR="00000000" w:rsidRPr="00064ADB" w:rsidP="00064ADB">
            <w:pPr>
              <w:pStyle w:val="ListBullet"/>
            </w:pPr>
            <w:r w:rsidRPr="00064ADB">
              <w:t>production schedules and instructions</w:t>
            </w:r>
          </w:p>
          <w:p w:rsidR="00000000" w:rsidRPr="00064ADB" w:rsidP="00064ADB">
            <w:pPr>
              <w:pStyle w:val="ListBullet"/>
            </w:pPr>
            <w:r w:rsidRPr="00064ADB">
              <w:t>work notes</w:t>
            </w:r>
          </w:p>
          <w:p w:rsidR="00000000" w:rsidRPr="00064ADB" w:rsidP="00064ADB">
            <w:pPr>
              <w:pStyle w:val="ListBullet"/>
            </w:pPr>
            <w:r w:rsidRPr="00064ADB">
              <w:t>Material Safety Data Sheets (MSDS)</w:t>
            </w:r>
          </w:p>
          <w:p w:rsidR="00000000" w:rsidRPr="00064ADB" w:rsidP="00064ADB">
            <w:pPr>
              <w:pStyle w:val="ListBullet"/>
            </w:pPr>
            <w:r w:rsidRPr="00064ADB">
              <w:t xml:space="preserve">manufacturer instructions </w:t>
            </w:r>
          </w:p>
          <w:p w:rsidR="00000000" w:rsidP="00064ADB">
            <w:pPr>
              <w:pStyle w:val="ListBullet"/>
              <w:rPr>
                <w:lang w:val="en-NZ"/>
              </w:rPr>
            </w:pPr>
            <w:r w:rsidRPr="00064ADB">
              <w:t>verbal direction from manager, supervisor or senior operator</w:t>
            </w:r>
          </w:p>
        </w:tc>
      </w:tr>
      <w:tr w:rsidTr="00064AD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4ADB">
            <w:pPr>
              <w:pStyle w:val="BodyText"/>
              <w:rPr>
                <w:lang w:val="en-NZ"/>
              </w:rPr>
            </w:pPr>
            <w:r w:rsidRPr="00064ADB">
              <w:rPr>
                <w:rStyle w:val="SpecialBold"/>
              </w:rPr>
              <w:t>Distillation equipment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4ADB" w:rsidP="00064ADB">
            <w:pPr>
              <w:pStyle w:val="BodyText"/>
            </w:pPr>
            <w:r w:rsidRPr="00064ADB">
              <w:t>Distillation equipment may include:</w:t>
            </w:r>
          </w:p>
          <w:p w:rsidR="00000000" w:rsidRPr="00064ADB" w:rsidP="00064ADB">
            <w:pPr>
              <w:pStyle w:val="ListBullet"/>
            </w:pPr>
            <w:r w:rsidRPr="00064ADB">
              <w:t>pot still</w:t>
            </w:r>
          </w:p>
          <w:p w:rsidR="00000000" w:rsidRPr="00064ADB" w:rsidP="00064ADB">
            <w:pPr>
              <w:pStyle w:val="ListBullet"/>
            </w:pPr>
            <w:r w:rsidRPr="00064ADB">
              <w:t>pumps</w:t>
            </w:r>
          </w:p>
          <w:p w:rsidR="00000000" w:rsidRPr="00064ADB" w:rsidP="00064ADB">
            <w:pPr>
              <w:pStyle w:val="ListBullet"/>
            </w:pPr>
            <w:r w:rsidRPr="00064ADB">
              <w:t>lines and fittings</w:t>
            </w:r>
          </w:p>
          <w:p w:rsidR="00000000" w:rsidRPr="00064ADB" w:rsidP="00064ADB">
            <w:pPr>
              <w:pStyle w:val="ListBullet"/>
            </w:pPr>
            <w:r w:rsidRPr="00064ADB">
              <w:t>valves</w:t>
            </w:r>
          </w:p>
          <w:p w:rsidR="00000000" w:rsidRPr="00064ADB" w:rsidP="00064ADB">
            <w:pPr>
              <w:pStyle w:val="ListBullet"/>
            </w:pPr>
            <w:r w:rsidRPr="00064ADB">
              <w:t>heat exchangers</w:t>
            </w:r>
          </w:p>
          <w:p w:rsidR="00000000" w:rsidRPr="00064ADB" w:rsidP="00064ADB">
            <w:pPr>
              <w:pStyle w:val="ListBullet"/>
            </w:pPr>
            <w:r w:rsidRPr="00064ADB">
              <w:t>condensers</w:t>
            </w:r>
          </w:p>
          <w:p w:rsidR="00000000" w:rsidRPr="00064ADB" w:rsidP="00064ADB">
            <w:pPr>
              <w:pStyle w:val="ListBullet"/>
            </w:pPr>
            <w:r w:rsidRPr="00064ADB">
              <w:t>brandy ball</w:t>
            </w:r>
          </w:p>
          <w:p w:rsidR="00000000" w:rsidRPr="00064ADB" w:rsidP="00064ADB">
            <w:pPr>
              <w:pStyle w:val="ListBullet"/>
            </w:pPr>
            <w:r w:rsidRPr="00064ADB">
              <w:t>receival vessels</w:t>
            </w:r>
          </w:p>
          <w:p w:rsidR="00000000" w:rsidRPr="00064ADB" w:rsidP="00064ADB">
            <w:pPr>
              <w:pStyle w:val="ListBullet"/>
            </w:pPr>
            <w:r w:rsidRPr="00064ADB">
              <w:t>temperature controls</w:t>
            </w:r>
          </w:p>
          <w:p w:rsidR="00000000" w:rsidP="00064ADB">
            <w:pPr>
              <w:pStyle w:val="ListBullet"/>
              <w:rPr>
                <w:lang w:val="en-NZ"/>
              </w:rPr>
            </w:pPr>
            <w:r w:rsidRPr="00064ADB">
              <w:t>test equipment (e.g. hydrometers and thermometers)</w:t>
            </w:r>
          </w:p>
        </w:tc>
      </w:tr>
      <w:tr w:rsidTr="00064AD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4ADB">
            <w:pPr>
              <w:pStyle w:val="BodyText"/>
              <w:rPr>
                <w:lang w:val="en-NZ"/>
              </w:rPr>
            </w:pPr>
            <w:r w:rsidRPr="00064ADB">
              <w:rPr>
                <w:rStyle w:val="SpecialBold"/>
              </w:rPr>
              <w:t>Product and materials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4ADB" w:rsidP="00064ADB">
            <w:pPr>
              <w:pStyle w:val="BodyText"/>
            </w:pPr>
            <w:r w:rsidRPr="00064ADB">
              <w:t>Product and materials may include:</w:t>
            </w:r>
          </w:p>
          <w:p w:rsidR="00000000" w:rsidP="00064ADB">
            <w:pPr>
              <w:pStyle w:val="ListBullet"/>
              <w:rPr>
                <w:lang w:val="en-NZ"/>
              </w:rPr>
            </w:pPr>
            <w:r w:rsidRPr="00064ADB">
              <w:t>low wines</w:t>
            </w:r>
          </w:p>
        </w:tc>
      </w:tr>
      <w:tr w:rsidTr="00064AD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4ADB">
            <w:pPr>
              <w:pStyle w:val="BodyText"/>
              <w:rPr>
                <w:lang w:val="en-NZ"/>
              </w:rPr>
            </w:pPr>
            <w:r w:rsidRPr="00064ADB">
              <w:rPr>
                <w:rStyle w:val="SpecialBold"/>
              </w:rPr>
              <w:t>Services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4ADB" w:rsidP="00064ADB">
            <w:pPr>
              <w:pStyle w:val="BodyText"/>
            </w:pPr>
            <w:r w:rsidRPr="00064ADB">
              <w:t>Services may include:</w:t>
            </w:r>
          </w:p>
          <w:p w:rsidR="00000000" w:rsidRPr="00064ADB" w:rsidP="00064ADB">
            <w:pPr>
              <w:pStyle w:val="ListBullet"/>
            </w:pPr>
            <w:r w:rsidRPr="00064ADB">
              <w:t>power</w:t>
            </w:r>
          </w:p>
          <w:p w:rsidR="00000000" w:rsidRPr="00064ADB" w:rsidP="00064ADB">
            <w:pPr>
              <w:pStyle w:val="ListBullet"/>
            </w:pPr>
            <w:r w:rsidRPr="00064ADB">
              <w:t>water (hot and cold )</w:t>
            </w:r>
          </w:p>
          <w:p w:rsidR="00000000" w:rsidRPr="00064ADB" w:rsidP="00064ADB">
            <w:pPr>
              <w:pStyle w:val="ListBullet"/>
            </w:pPr>
            <w:r w:rsidRPr="00064ADB">
              <w:t>steam</w:t>
            </w:r>
          </w:p>
          <w:p w:rsidR="00000000" w:rsidP="00064ADB">
            <w:pPr>
              <w:pStyle w:val="ListBullet"/>
              <w:rPr>
                <w:lang w:val="en-NZ"/>
              </w:rPr>
            </w:pPr>
            <w:r w:rsidRPr="00064ADB">
              <w:t>fuel</w:t>
            </w:r>
          </w:p>
        </w:tc>
      </w:tr>
      <w:tr w:rsidTr="00064AD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4ADB">
            <w:pPr>
              <w:pStyle w:val="BodyText"/>
              <w:rPr>
                <w:lang w:val="en-NZ"/>
              </w:rPr>
            </w:pPr>
            <w:r w:rsidRPr="00064ADB">
              <w:rPr>
                <w:rStyle w:val="SpecialBold"/>
              </w:rPr>
              <w:t>Confirming equipment status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4ADB" w:rsidP="00064ADB">
            <w:pPr>
              <w:pStyle w:val="BodyText"/>
            </w:pPr>
            <w:r w:rsidRPr="00064ADB">
              <w:t>Confirming equipment status involves:</w:t>
            </w:r>
          </w:p>
          <w:p w:rsidR="00000000" w:rsidRPr="00064ADB" w:rsidP="00064ADB">
            <w:pPr>
              <w:pStyle w:val="ListBullet"/>
            </w:pPr>
            <w:r w:rsidRPr="00064ADB">
              <w:t>checking that hygiene and sanitation standards, safety standards and pre-start requirements are met and that equipment is operational</w:t>
            </w:r>
          </w:p>
          <w:p w:rsidR="00000000" w:rsidP="00064ADB">
            <w:pPr>
              <w:pStyle w:val="ListBullet"/>
              <w:rPr>
                <w:lang w:val="en-NZ"/>
              </w:rPr>
            </w:pPr>
            <w:r w:rsidRPr="00064ADB">
              <w:t>checking the operation and calibration of measuring ins</w:t>
            </w:r>
            <w:r w:rsidRPr="00064ADB">
              <w:t>trumentation</w:t>
            </w:r>
          </w:p>
        </w:tc>
      </w:tr>
      <w:tr w:rsidTr="00064AD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4ADB">
            <w:pPr>
              <w:pStyle w:val="BodyText"/>
              <w:rPr>
                <w:lang w:val="en-NZ"/>
              </w:rPr>
            </w:pPr>
            <w:r w:rsidRPr="00064ADB">
              <w:rPr>
                <w:rStyle w:val="SpecialBold"/>
              </w:rPr>
              <w:t>Monitoring the process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4ADB" w:rsidP="00064ADB">
            <w:pPr>
              <w:pStyle w:val="BodyText"/>
            </w:pPr>
            <w:r w:rsidRPr="00064ADB">
              <w:t>Monitoring the process may involve:</w:t>
            </w:r>
          </w:p>
          <w:p w:rsidR="00000000" w:rsidRPr="00064ADB" w:rsidP="00064ADB">
            <w:pPr>
              <w:pStyle w:val="ListBullet"/>
            </w:pPr>
            <w:r w:rsidRPr="00064ADB">
              <w:t>the use of production data, such as speed control sheets</w:t>
            </w:r>
          </w:p>
          <w:p w:rsidR="00000000" w:rsidRPr="00064ADB" w:rsidP="00064ADB">
            <w:pPr>
              <w:pStyle w:val="ListBullet"/>
            </w:pPr>
            <w:r w:rsidRPr="00064ADB">
              <w:t>sampling</w:t>
            </w:r>
          </w:p>
          <w:p w:rsidR="00000000" w:rsidP="00064ADB">
            <w:pPr>
              <w:pStyle w:val="ListBullet"/>
              <w:rPr>
                <w:lang w:val="en-NZ"/>
              </w:rPr>
            </w:pPr>
            <w:r w:rsidRPr="00064ADB">
              <w:t>analytical tests</w:t>
            </w:r>
          </w:p>
        </w:tc>
      </w:tr>
      <w:tr w:rsidTr="00064AD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4ADB">
            <w:pPr>
              <w:pStyle w:val="BodyText"/>
              <w:rPr>
                <w:lang w:val="en-NZ"/>
              </w:rPr>
            </w:pPr>
            <w:r w:rsidRPr="00064ADB">
              <w:rPr>
                <w:rStyle w:val="SpecialBold"/>
              </w:rPr>
              <w:t>Process set up, operation and monitoring functions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4ADB" w:rsidP="00064ADB">
            <w:pPr>
              <w:pStyle w:val="BodyText"/>
            </w:pPr>
            <w:r w:rsidRPr="00064ADB">
              <w:t>Process set up, operation and monitoring functions may be:</w:t>
            </w:r>
          </w:p>
          <w:p w:rsidR="00000000" w:rsidP="00064ADB">
            <w:pPr>
              <w:pStyle w:val="ListBullet"/>
              <w:rPr>
                <w:lang w:val="en-NZ"/>
              </w:rPr>
            </w:pPr>
            <w:r w:rsidRPr="00064ADB">
              <w:t>manual or involve the use of a process control system</w:t>
            </w:r>
          </w:p>
        </w:tc>
      </w:tr>
      <w:tr w:rsidTr="00064AD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4ADB">
            <w:pPr>
              <w:pStyle w:val="BodyText"/>
              <w:rPr>
                <w:lang w:val="en-NZ"/>
              </w:rPr>
            </w:pPr>
            <w:r w:rsidRPr="00064ADB">
              <w:rPr>
                <w:rStyle w:val="SpecialBold"/>
              </w:rPr>
              <w:t>Control points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4ADB" w:rsidP="00064ADB">
            <w:pPr>
              <w:pStyle w:val="BodyText"/>
            </w:pPr>
            <w:r w:rsidRPr="00064ADB">
              <w:t>Control points refer to those key points in a work process that must be monitored and controlled. This includes:</w:t>
            </w:r>
          </w:p>
          <w:p w:rsidR="00000000" w:rsidRPr="00064ADB" w:rsidP="00064ADB">
            <w:pPr>
              <w:pStyle w:val="ListBullet"/>
            </w:pPr>
            <w:r w:rsidRPr="00064ADB">
              <w:t xml:space="preserve">food safety </w:t>
            </w:r>
            <w:r w:rsidRPr="00064ADB">
              <w:t>(critical)</w:t>
            </w:r>
          </w:p>
          <w:p w:rsidR="00000000" w:rsidRPr="00064ADB" w:rsidP="00064ADB">
            <w:pPr>
              <w:pStyle w:val="ListBullet"/>
            </w:pPr>
            <w:r w:rsidRPr="00064ADB">
              <w:t xml:space="preserve">quality and regulatory control points </w:t>
            </w:r>
          </w:p>
          <w:p w:rsidR="00000000" w:rsidP="00064ADB">
            <w:pPr>
              <w:pStyle w:val="ListBullet"/>
              <w:rPr>
                <w:lang w:val="en-NZ"/>
              </w:rPr>
            </w:pPr>
            <w:r w:rsidRPr="00064ADB">
              <w:t>inspection points</w:t>
            </w:r>
          </w:p>
        </w:tc>
      </w:tr>
      <w:tr w:rsidTr="00064AD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4ADB">
            <w:pPr>
              <w:pStyle w:val="BodyText"/>
              <w:rPr>
                <w:lang w:val="en-NZ"/>
              </w:rPr>
            </w:pPr>
            <w:r w:rsidRPr="00064ADB">
              <w:rPr>
                <w:rStyle w:val="SpecialBold"/>
              </w:rPr>
              <w:t>Information systems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4ADB" w:rsidP="00064ADB">
            <w:pPr>
              <w:pStyle w:val="BodyText"/>
            </w:pPr>
            <w:r w:rsidRPr="00064ADB">
              <w:t>Information systems may be:</w:t>
            </w:r>
          </w:p>
          <w:p w:rsidR="00000000" w:rsidP="00064ADB">
            <w:pPr>
              <w:pStyle w:val="ListBullet"/>
              <w:rPr>
                <w:lang w:val="en-NZ"/>
              </w:rPr>
            </w:pPr>
            <w:r w:rsidRPr="00064ADB">
              <w:t>print or screen based</w:t>
            </w:r>
          </w:p>
        </w:tc>
      </w:tr>
      <w:tr w:rsidTr="00064AD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4ADB">
            <w:pPr>
              <w:pStyle w:val="BodyText"/>
              <w:rPr>
                <w:lang w:val="en-NZ"/>
              </w:rPr>
            </w:pPr>
            <w:r w:rsidRPr="00064ADB">
              <w:rPr>
                <w:rStyle w:val="SpecialBold"/>
              </w:rPr>
              <w:t>Work hazards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4ADB" w:rsidP="00064ADB">
            <w:pPr>
              <w:pStyle w:val="BodyText"/>
            </w:pPr>
            <w:r w:rsidRPr="00064ADB">
              <w:t>Work may involve exposure to:</w:t>
            </w:r>
          </w:p>
          <w:p w:rsidR="00000000" w:rsidRPr="00064ADB" w:rsidP="00064ADB">
            <w:pPr>
              <w:pStyle w:val="ListBullet"/>
            </w:pPr>
            <w:r w:rsidRPr="00064ADB">
              <w:t>chemical, dangerous or hazardous substances</w:t>
            </w:r>
          </w:p>
        </w:tc>
      </w:tr>
    </w:tbl>
    <w:p w:rsidR="00000000" w:rsidRPr="00064ADB" w:rsidP="00064ADB">
      <w:pPr>
        <w:pStyle w:val="BodyText"/>
      </w:pPr>
    </w:p>
    <w:p w:rsidR="00000000" w:rsidRPr="00064ADB" w:rsidP="00064ADB">
      <w:pPr>
        <w:pStyle w:val="AllowPageBreak"/>
      </w:pPr>
    </w:p>
    <w:p w:rsidR="00000000" w:rsidRPr="00064ADB" w:rsidP="00064ADB">
      <w:pPr>
        <w:pStyle w:val="Heading1"/>
      </w:pPr>
      <w:bookmarkStart w:id="12" w:name="O_449704"/>
      <w:bookmarkEnd w:id="12"/>
      <w:r w:rsidRPr="00064ADB">
        <w:t>Unit Sector(s)</w:t>
      </w:r>
    </w:p>
    <w:tbl>
      <w:tblPr>
        <w:tblW w:w="9462" w:type="dxa"/>
        <w:tblLayout w:type="fixed"/>
        <w:tblCellMar>
          <w:left w:w="62" w:type="dxa"/>
          <w:right w:w="62" w:type="dxa"/>
        </w:tblCellMar>
        <w:tblLook w:val="0000"/>
      </w:tblPr>
      <w:tblGrid>
        <w:gridCol w:w="2653"/>
        <w:gridCol w:w="6809"/>
      </w:tblGrid>
      <w:tr w:rsidTr="00064ADB">
        <w:tblPrEx>
          <w:tblW w:w="9462" w:type="dxa"/>
          <w:tblLayout w:type="fixed"/>
          <w:tblCellMar>
            <w:left w:w="62" w:type="dxa"/>
            <w:right w:w="62" w:type="dxa"/>
          </w:tblCellMar>
          <w:tblLook w:val="0000"/>
        </w:tblPrEx>
        <w:tc>
          <w:tcPr>
            <w:tcW w:w="26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4ADB">
            <w:pPr>
              <w:pStyle w:val="Heading4"/>
            </w:pPr>
            <w:r w:rsidRPr="00064ADB">
              <w:t>Unit sector</w:t>
            </w:r>
          </w:p>
        </w:tc>
        <w:tc>
          <w:tcPr>
            <w:tcW w:w="68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4ADB" w:rsidP="00064ADB">
            <w:pPr>
              <w:pStyle w:val="BodyText"/>
            </w:pPr>
            <w:r w:rsidRPr="00064ADB">
              <w:t>Wine operations</w:t>
            </w:r>
          </w:p>
        </w:tc>
      </w:tr>
    </w:tbl>
    <w:p w:rsidR="00706D7B" w:rsidP="00064ADB">
      <w:pPr>
        <w:pStyle w:val="BodyText"/>
      </w:pPr>
    </w:p>
    <w:p w:rsidR="00706D7B" w:rsidP="00064ADB">
      <w:pPr>
        <w:pStyle w:val="BodyText"/>
      </w:pPr>
    </w:p>
    <w:p w:rsidR="00000000" w:rsidRPr="00064ADB" w:rsidP="00064ADB">
      <w:pPr>
        <w:pStyle w:val="Heading1"/>
      </w:pPr>
      <w:bookmarkStart w:id="13" w:name="O_449716"/>
      <w:bookmarkEnd w:id="13"/>
      <w:r w:rsidRPr="00064ADB">
        <w:t>Custom Content Section</w:t>
      </w:r>
    </w:p>
    <w:p w:rsidR="00000000" w:rsidRPr="00064ADB" w:rsidP="00064ADB">
      <w:pPr>
        <w:pStyle w:val="BodyText"/>
      </w:pPr>
      <w:r w:rsidRPr="00064ADB">
        <w:t>Not applicable.</w:t>
      </w:r>
    </w:p>
    <w:p w:rsidR="00000000" w:rsidRPr="00064ADB" w:rsidP="00064ADB"/>
    <w:sectPr w:rsidSect="00064AD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A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06D7B" w:rsidP="00706D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A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D7B" w:rsidP="00064A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06D7B" w:rsidP="00064AD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706D7B" w:rsidP="00064AD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A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06D7B" w:rsidP="00706D7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A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D7B" w:rsidP="00064ADB">
    <w:pPr>
      <w:pStyle w:val="Header"/>
      <w:framePr w:wrap="around"/>
    </w:pPr>
    <w:r>
      <w:fldChar w:fldCharType="begin"/>
    </w:r>
    <w:r>
      <w:instrText xml:space="preserve"> TITLE   \* MERGEFORMAT </w:instrText>
    </w:r>
    <w:r>
      <w:fldChar w:fldCharType="separate"/>
    </w:r>
    <w:r>
      <w:t>FDFCEL3001A Perform second distillation (pot still brandy)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06D7B" w:rsidP="00064AD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76E5F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2A2FA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08056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4AD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64ADB"/>
    <w:pPr>
      <w:spacing w:before="360" w:after="60"/>
      <w:outlineLvl w:val="0"/>
    </w:pPr>
    <w:rPr>
      <w:sz w:val="32"/>
    </w:rPr>
  </w:style>
  <w:style w:type="paragraph" w:styleId="Heading2">
    <w:name w:val="heading 2"/>
    <w:basedOn w:val="HeadingBase"/>
    <w:next w:val="BodyText"/>
    <w:link w:val="Heading2Char"/>
    <w:qFormat/>
    <w:rsid w:val="00064ADB"/>
    <w:pPr>
      <w:keepLines/>
      <w:spacing w:before="240" w:after="120"/>
      <w:outlineLvl w:val="1"/>
    </w:pPr>
    <w:rPr>
      <w:sz w:val="28"/>
      <w:szCs w:val="40"/>
    </w:rPr>
  </w:style>
  <w:style w:type="paragraph" w:styleId="Heading3">
    <w:name w:val="heading 3"/>
    <w:basedOn w:val="HeadingBase"/>
    <w:next w:val="BodyText"/>
    <w:link w:val="Heading3Char"/>
    <w:qFormat/>
    <w:rsid w:val="00064ADB"/>
    <w:pPr>
      <w:spacing w:before="180" w:after="120"/>
      <w:outlineLvl w:val="2"/>
    </w:pPr>
    <w:rPr>
      <w:spacing w:val="-10"/>
      <w:kern w:val="32"/>
    </w:rPr>
  </w:style>
  <w:style w:type="paragraph" w:styleId="Heading4">
    <w:name w:val="heading 4"/>
    <w:basedOn w:val="HeadingBase"/>
    <w:next w:val="BodyText"/>
    <w:link w:val="Heading4Char"/>
    <w:qFormat/>
    <w:rsid w:val="00064ADB"/>
    <w:pPr>
      <w:spacing w:before="160" w:after="120"/>
      <w:outlineLvl w:val="3"/>
    </w:pPr>
    <w:rPr>
      <w:sz w:val="22"/>
    </w:rPr>
  </w:style>
  <w:style w:type="paragraph" w:styleId="Heading5">
    <w:name w:val="heading 5"/>
    <w:basedOn w:val="HeadingBase"/>
    <w:next w:val="Normal"/>
    <w:link w:val="Heading5Char"/>
    <w:qFormat/>
    <w:rsid w:val="00064ADB"/>
    <w:pPr>
      <w:spacing w:before="80"/>
      <w:outlineLvl w:val="4"/>
    </w:pPr>
    <w:rPr>
      <w:color w:val="918585"/>
      <w:sz w:val="20"/>
    </w:rPr>
  </w:style>
  <w:style w:type="paragraph" w:styleId="Heading6">
    <w:name w:val="heading 6"/>
    <w:basedOn w:val="HeadingBase"/>
    <w:next w:val="Normal"/>
    <w:link w:val="Heading6Char"/>
    <w:qFormat/>
    <w:rsid w:val="00064ADB"/>
    <w:pPr>
      <w:spacing w:before="60"/>
      <w:outlineLvl w:val="5"/>
    </w:pPr>
    <w:rPr>
      <w:color w:val="918585"/>
      <w:sz w:val="20"/>
    </w:rPr>
  </w:style>
  <w:style w:type="paragraph" w:styleId="Heading7">
    <w:name w:val="heading 7"/>
    <w:basedOn w:val="Normal"/>
    <w:next w:val="Normal"/>
    <w:link w:val="Heading7Char"/>
    <w:qFormat/>
    <w:rsid w:val="00064ADB"/>
    <w:pPr>
      <w:ind w:left="720"/>
      <w:outlineLvl w:val="6"/>
    </w:pPr>
    <w:rPr>
      <w:i/>
    </w:rPr>
  </w:style>
  <w:style w:type="paragraph" w:styleId="Heading8">
    <w:name w:val="heading 8"/>
    <w:basedOn w:val="Normal"/>
    <w:next w:val="Normal"/>
    <w:link w:val="Heading8Char"/>
    <w:qFormat/>
    <w:rsid w:val="00064ADB"/>
    <w:pPr>
      <w:ind w:left="720"/>
      <w:outlineLvl w:val="7"/>
    </w:pPr>
    <w:rPr>
      <w:i/>
    </w:rPr>
  </w:style>
  <w:style w:type="paragraph" w:styleId="Heading9">
    <w:name w:val="heading 9"/>
    <w:basedOn w:val="Normal"/>
    <w:next w:val="Normal"/>
    <w:link w:val="Heading9Char"/>
    <w:qFormat/>
    <w:rsid w:val="00064ADB"/>
    <w:pPr>
      <w:ind w:left="720"/>
      <w:outlineLvl w:val="8"/>
    </w:pPr>
    <w:rPr>
      <w:i/>
    </w:rPr>
  </w:style>
  <w:style w:type="character" w:default="1" w:styleId="DefaultParagraphFont">
    <w:name w:val="Default Paragraph Font"/>
    <w:uiPriority w:val="1"/>
    <w:unhideWhenUsed/>
    <w:rsid w:val="00064A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4ADB"/>
  </w:style>
  <w:style w:type="character" w:customStyle="1" w:styleId="Heading1Char">
    <w:name w:val="Heading 1 Char"/>
    <w:basedOn w:val="DefaultParagraphFont"/>
    <w:link w:val="Heading1"/>
    <w:rsid w:val="00064ADB"/>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064ADB"/>
    <w:rPr>
      <w:rFonts w:ascii="Times New Roman" w:eastAsia="Times New Roman" w:hAnsi="Times New Roman" w:cs="Times New Roman"/>
      <w:b/>
      <w:szCs w:val="20"/>
      <w:lang w:eastAsia="en-US"/>
    </w:rPr>
  </w:style>
  <w:style w:type="paragraph" w:styleId="BodyText">
    <w:name w:val="Body Text"/>
    <w:basedOn w:val="Normal"/>
    <w:link w:val="BodyTextChar"/>
    <w:rsid w:val="00064AD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64ADB"/>
    <w:rPr>
      <w:rFonts w:ascii="Times New Roman" w:eastAsia="Times New Roman" w:hAnsi="Times New Roman" w:cs="Times New Roman"/>
      <w:sz w:val="24"/>
      <w:lang w:val="en-US" w:eastAsia="en-US"/>
    </w:rPr>
  </w:style>
  <w:style w:type="paragraph" w:styleId="Footer">
    <w:name w:val="footer"/>
    <w:basedOn w:val="Normal"/>
    <w:link w:val="FooterChar"/>
    <w:rsid w:val="00064A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4ADB"/>
    <w:rPr>
      <w:rFonts w:ascii="Times New Roman" w:eastAsia="Times New Roman" w:hAnsi="Times New Roman" w:cs="Times New Roman"/>
      <w:sz w:val="16"/>
      <w:lang w:val="en-US" w:eastAsia="en-US"/>
    </w:rPr>
  </w:style>
  <w:style w:type="paragraph" w:styleId="List">
    <w:name w:val="List"/>
    <w:basedOn w:val="BodyText"/>
    <w:next w:val="BodyText"/>
    <w:rsid w:val="00064ADB"/>
    <w:pPr>
      <w:tabs>
        <w:tab w:val="left" w:pos="340"/>
      </w:tabs>
      <w:spacing w:before="60" w:after="60"/>
      <w:ind w:left="340" w:hanging="340"/>
    </w:pPr>
  </w:style>
  <w:style w:type="paragraph" w:styleId="ListBullet">
    <w:name w:val="List Bullet"/>
    <w:basedOn w:val="List"/>
    <w:rsid w:val="00064ADB"/>
    <w:pPr>
      <w:numPr>
        <w:numId w:val="13"/>
      </w:numPr>
      <w:tabs>
        <w:tab w:val="clear" w:pos="340"/>
      </w:tabs>
      <w:spacing w:before="40" w:after="40"/>
    </w:pPr>
  </w:style>
  <w:style w:type="character" w:customStyle="1" w:styleId="SpecialBold">
    <w:name w:val="Special Bold"/>
    <w:basedOn w:val="DefaultParagraphFont"/>
    <w:rsid w:val="00064ADB"/>
    <w:rPr>
      <w:b/>
      <w:spacing w:val="0"/>
    </w:rPr>
  </w:style>
  <w:style w:type="paragraph" w:styleId="ListBullet2">
    <w:name w:val="List Bullet 2"/>
    <w:basedOn w:val="List2"/>
    <w:rsid w:val="00064ADB"/>
    <w:pPr>
      <w:numPr>
        <w:numId w:val="14"/>
      </w:numPr>
      <w:tabs>
        <w:tab w:val="clear" w:pos="680"/>
      </w:tabs>
    </w:pPr>
  </w:style>
  <w:style w:type="paragraph" w:styleId="Header">
    <w:name w:val="header"/>
    <w:basedOn w:val="Normal"/>
    <w:link w:val="HeaderChar"/>
    <w:rsid w:val="00064A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4AD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64ADB"/>
    <w:pPr>
      <w:spacing w:before="240" w:after="120"/>
      <w:outlineLvl w:val="0"/>
    </w:pPr>
    <w:rPr>
      <w:rFonts w:ascii="Times New Roman" w:hAnsi="Times New Roman"/>
      <w:b/>
      <w:sz w:val="28"/>
    </w:rPr>
  </w:style>
  <w:style w:type="paragraph" w:customStyle="1" w:styleId="TableHeading">
    <w:name w:val="Table Heading"/>
    <w:basedOn w:val="HeadingBase"/>
    <w:rsid w:val="00064ADB"/>
    <w:pPr>
      <w:keepLines/>
      <w:pBdr>
        <w:bottom w:val="single" w:sz="6" w:space="1" w:color="918585"/>
      </w:pBdr>
      <w:spacing w:before="240"/>
    </w:pPr>
  </w:style>
  <w:style w:type="paragraph" w:customStyle="1" w:styleId="AllowPageBreak">
    <w:name w:val="AllowPageBreak"/>
    <w:rsid w:val="00064AD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64A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4ADB"/>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064A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4A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4AD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64AD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64ADB"/>
    <w:rPr>
      <w:rFonts w:ascii="Courier New" w:eastAsia="Times New Roman" w:hAnsi="Courier New" w:cs="Times New Roman"/>
      <w:i/>
      <w:szCs w:val="20"/>
      <w:lang w:val="en-US" w:eastAsia="en-US"/>
    </w:rPr>
  </w:style>
  <w:style w:type="paragraph" w:customStyle="1" w:styleId="HeadingBase">
    <w:name w:val="Heading Base"/>
    <w:rsid w:val="00064A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4ADB"/>
    <w:pPr>
      <w:tabs>
        <w:tab w:val="right" w:leader="dot" w:pos="9072"/>
      </w:tabs>
      <w:ind w:left="567"/>
    </w:pPr>
    <w:rPr>
      <w:szCs w:val="22"/>
    </w:rPr>
  </w:style>
  <w:style w:type="paragraph" w:customStyle="1" w:styleId="TOCBase">
    <w:name w:val="TOC Base"/>
    <w:rsid w:val="00064A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4ADB"/>
    <w:pPr>
      <w:tabs>
        <w:tab w:val="right" w:leader="dot" w:pos="9072"/>
      </w:tabs>
      <w:spacing w:before="40" w:after="40"/>
      <w:ind w:left="284"/>
    </w:pPr>
    <w:rPr>
      <w:rFonts w:ascii="Times New Roman" w:hAnsi="Times New Roman"/>
    </w:rPr>
  </w:style>
  <w:style w:type="paragraph" w:styleId="TOC1">
    <w:name w:val="toc 1"/>
    <w:basedOn w:val="TOCBase"/>
    <w:next w:val="Normal"/>
    <w:rsid w:val="00064AD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64ADB"/>
    <w:pPr>
      <w:spacing w:before="5040"/>
      <w:jc w:val="center"/>
    </w:pPr>
    <w:rPr>
      <w:sz w:val="48"/>
      <w:szCs w:val="72"/>
      <w:lang w:val="en-US"/>
    </w:rPr>
  </w:style>
  <w:style w:type="character" w:customStyle="1" w:styleId="TitleChar">
    <w:name w:val="Title Char"/>
    <w:basedOn w:val="DefaultParagraphFont"/>
    <w:link w:val="Title"/>
    <w:rsid w:val="00064A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4ADB"/>
    <w:pPr>
      <w:tabs>
        <w:tab w:val="left" w:pos="3600"/>
        <w:tab w:val="left" w:pos="3958"/>
      </w:tabs>
    </w:pPr>
  </w:style>
  <w:style w:type="paragraph" w:customStyle="1" w:styleId="Note">
    <w:name w:val="Note"/>
    <w:basedOn w:val="BodyText"/>
    <w:rsid w:val="00064A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4ADB"/>
    <w:pPr>
      <w:framePr w:wrap="auto" w:hAnchor="text" w:y="6049"/>
    </w:pPr>
    <w:rPr>
      <w:color w:val="000000"/>
      <w:sz w:val="40"/>
    </w:rPr>
  </w:style>
  <w:style w:type="paragraph" w:customStyle="1" w:styleId="TOCTitle">
    <w:name w:val="TOCTitle"/>
    <w:basedOn w:val="Heading1"/>
    <w:rsid w:val="00064ADB"/>
    <w:pPr>
      <w:spacing w:after="240"/>
      <w:jc w:val="center"/>
      <w:outlineLvl w:val="9"/>
    </w:pPr>
    <w:rPr>
      <w:caps/>
    </w:rPr>
  </w:style>
  <w:style w:type="paragraph" w:customStyle="1" w:styleId="Version">
    <w:name w:val="Version"/>
    <w:rsid w:val="00064AD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64ADB"/>
    <w:pPr>
      <w:keepNext w:val="0"/>
      <w:tabs>
        <w:tab w:val="right" w:pos="4176"/>
      </w:tabs>
      <w:ind w:left="198" w:hanging="198"/>
    </w:pPr>
    <w:rPr>
      <w:rFonts w:ascii="Garamond" w:hAnsi="Garamond"/>
    </w:rPr>
  </w:style>
  <w:style w:type="paragraph" w:styleId="IndexHeading">
    <w:name w:val="index heading"/>
    <w:basedOn w:val="Normal"/>
    <w:next w:val="Index1"/>
    <w:semiHidden/>
    <w:rsid w:val="00064ADB"/>
    <w:pPr>
      <w:spacing w:before="120" w:after="120"/>
    </w:pPr>
    <w:rPr>
      <w:rFonts w:ascii="Arial" w:hAnsi="Arial"/>
      <w:b/>
      <w:color w:val="918585"/>
      <w:sz w:val="24"/>
    </w:rPr>
  </w:style>
  <w:style w:type="paragraph" w:customStyle="1" w:styleId="Chapter">
    <w:name w:val="Chapter"/>
    <w:basedOn w:val="Normal"/>
    <w:rsid w:val="00064ADB"/>
    <w:pPr>
      <w:spacing w:before="240"/>
    </w:pPr>
    <w:rPr>
      <w:rFonts w:ascii="Times New Roman" w:hAnsi="Times New Roman"/>
      <w:smallCaps/>
      <w:spacing w:val="80"/>
      <w:sz w:val="28"/>
    </w:rPr>
  </w:style>
  <w:style w:type="paragraph" w:customStyle="1" w:styleId="InChapter">
    <w:name w:val="InChapter"/>
    <w:basedOn w:val="Heading3"/>
    <w:rsid w:val="00064ADB"/>
    <w:pPr>
      <w:spacing w:after="240"/>
      <w:outlineLvl w:val="9"/>
    </w:pPr>
    <w:rPr>
      <w:noProof/>
    </w:rPr>
  </w:style>
  <w:style w:type="paragraph" w:styleId="Index2">
    <w:name w:val="index 2"/>
    <w:basedOn w:val="Normal"/>
    <w:next w:val="Normal"/>
    <w:semiHidden/>
    <w:rsid w:val="00064ADB"/>
    <w:pPr>
      <w:tabs>
        <w:tab w:val="right" w:pos="4176"/>
      </w:tabs>
      <w:ind w:left="568" w:hanging="284"/>
    </w:pPr>
    <w:rPr>
      <w:rFonts w:ascii="Garamond" w:hAnsi="Garamond"/>
    </w:rPr>
  </w:style>
  <w:style w:type="paragraph" w:customStyle="1" w:styleId="Byline">
    <w:name w:val="Byline"/>
    <w:rsid w:val="00064A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4ADB"/>
    <w:pPr>
      <w:tabs>
        <w:tab w:val="clear" w:pos="3600"/>
        <w:tab w:val="clear" w:pos="3958"/>
      </w:tabs>
      <w:jc w:val="right"/>
    </w:pPr>
  </w:style>
  <w:style w:type="character" w:styleId="Emphasis">
    <w:name w:val="Emphasis"/>
    <w:basedOn w:val="DefaultParagraphFont"/>
    <w:qFormat/>
    <w:rsid w:val="00064ADB"/>
    <w:rPr>
      <w:i/>
    </w:rPr>
  </w:style>
  <w:style w:type="paragraph" w:styleId="Caption">
    <w:name w:val="caption"/>
    <w:basedOn w:val="BodyText"/>
    <w:next w:val="Normal"/>
    <w:qFormat/>
    <w:rsid w:val="00064ADB"/>
    <w:pPr>
      <w:framePr w:w="2268" w:hSpace="181" w:vSpace="181" w:wrap="around" w:vAnchor="text" w:hAnchor="page" w:x="1135" w:y="285" w:anchorLock="1"/>
    </w:pPr>
    <w:rPr>
      <w:i/>
    </w:rPr>
  </w:style>
  <w:style w:type="paragraph" w:customStyle="1" w:styleId="MiniTOCTitle">
    <w:name w:val="MiniTOCTitle"/>
    <w:basedOn w:val="Heading4"/>
    <w:rsid w:val="00064ADB"/>
    <w:pPr>
      <w:spacing w:before="240"/>
      <w:outlineLvl w:val="9"/>
    </w:pPr>
    <w:rPr>
      <w:noProof/>
      <w:sz w:val="24"/>
    </w:rPr>
  </w:style>
  <w:style w:type="paragraph" w:customStyle="1" w:styleId="MiniTOCItem">
    <w:name w:val="MiniTOCItem"/>
    <w:basedOn w:val="ListBullet"/>
    <w:rsid w:val="00064ADB"/>
    <w:pPr>
      <w:numPr>
        <w:numId w:val="0"/>
      </w:numPr>
      <w:tabs>
        <w:tab w:val="right" w:leader="dot" w:pos="6521"/>
      </w:tabs>
      <w:spacing w:before="0" w:after="0"/>
    </w:pPr>
  </w:style>
  <w:style w:type="paragraph" w:customStyle="1" w:styleId="TOFTitle">
    <w:name w:val="TOFTitle"/>
    <w:basedOn w:val="TOCTitle"/>
    <w:rsid w:val="00064ADB"/>
  </w:style>
  <w:style w:type="paragraph" w:styleId="TableofFigures">
    <w:name w:val="table of figures"/>
    <w:basedOn w:val="Normal"/>
    <w:next w:val="Normal"/>
    <w:semiHidden/>
    <w:rsid w:val="00064ADB"/>
    <w:pPr>
      <w:tabs>
        <w:tab w:val="right" w:leader="dot" w:pos="9072"/>
      </w:tabs>
      <w:ind w:left="970" w:hanging="403"/>
    </w:pPr>
    <w:rPr>
      <w:rFonts w:ascii="Times New Roman" w:hAnsi="Times New Roman"/>
      <w:b/>
    </w:rPr>
  </w:style>
  <w:style w:type="paragraph" w:styleId="ListNumber">
    <w:name w:val="List Number"/>
    <w:basedOn w:val="List"/>
    <w:rsid w:val="00064ADB"/>
    <w:pPr>
      <w:numPr>
        <w:numId w:val="11"/>
      </w:numPr>
    </w:pPr>
  </w:style>
  <w:style w:type="character" w:customStyle="1" w:styleId="WingdingSymbols">
    <w:name w:val="Wingding Symbols"/>
    <w:rsid w:val="00064ADB"/>
    <w:rPr>
      <w:rFonts w:ascii="Wingdings" w:hAnsi="Wingdings"/>
    </w:rPr>
  </w:style>
  <w:style w:type="character" w:customStyle="1" w:styleId="HotSpot">
    <w:name w:val="HotSpot"/>
    <w:rsid w:val="00064ADB"/>
    <w:rPr>
      <w:color w:val="0033CC"/>
      <w:u w:val="none"/>
    </w:rPr>
  </w:style>
  <w:style w:type="paragraph" w:customStyle="1" w:styleId="BodyTextRight">
    <w:name w:val="Body Text Right"/>
    <w:basedOn w:val="BodyText"/>
    <w:rsid w:val="00064ADB"/>
    <w:pPr>
      <w:spacing w:before="0" w:after="0"/>
      <w:jc w:val="right"/>
    </w:pPr>
  </w:style>
  <w:style w:type="paragraph" w:styleId="Index3">
    <w:name w:val="index 3"/>
    <w:basedOn w:val="ListNumber2"/>
    <w:next w:val="Normal"/>
    <w:semiHidden/>
    <w:rsid w:val="00064ADB"/>
    <w:pPr>
      <w:numPr>
        <w:numId w:val="0"/>
      </w:numPr>
      <w:tabs>
        <w:tab w:val="right" w:leader="dot" w:pos="4176"/>
      </w:tabs>
    </w:pPr>
  </w:style>
  <w:style w:type="paragraph" w:styleId="ListNumber2">
    <w:name w:val="List Number 2"/>
    <w:basedOn w:val="List2"/>
    <w:rsid w:val="00064ADB"/>
    <w:pPr>
      <w:numPr>
        <w:numId w:val="10"/>
      </w:numPr>
      <w:tabs>
        <w:tab w:val="clear" w:pos="1060"/>
      </w:tabs>
    </w:pPr>
  </w:style>
  <w:style w:type="paragraph" w:customStyle="1" w:styleId="MarginNote">
    <w:name w:val="Margin Note"/>
    <w:basedOn w:val="BodyText"/>
    <w:rsid w:val="00064A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4A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4AD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64ADB"/>
    <w:rPr>
      <w:sz w:val="32"/>
    </w:rPr>
  </w:style>
  <w:style w:type="paragraph" w:customStyle="1" w:styleId="HeadingProcedure">
    <w:name w:val="Heading Procedure"/>
    <w:basedOn w:val="HeadingBase"/>
    <w:next w:val="Normal"/>
    <w:rsid w:val="00064ADB"/>
    <w:pPr>
      <w:tabs>
        <w:tab w:val="left" w:pos="0"/>
      </w:tabs>
      <w:spacing w:before="120" w:after="60"/>
    </w:pPr>
    <w:rPr>
      <w:i/>
      <w:color w:val="918585"/>
      <w:sz w:val="22"/>
    </w:rPr>
  </w:style>
  <w:style w:type="paragraph" w:customStyle="1" w:styleId="TableBodyText">
    <w:name w:val="Table Body Text"/>
    <w:basedOn w:val="BodyText"/>
    <w:rsid w:val="00064ADB"/>
    <w:pPr>
      <w:spacing w:before="60" w:after="60"/>
    </w:pPr>
  </w:style>
  <w:style w:type="paragraph" w:styleId="ListContinue">
    <w:name w:val="List Continue"/>
    <w:basedOn w:val="List"/>
    <w:rsid w:val="00064ADB"/>
    <w:pPr>
      <w:ind w:firstLine="0"/>
    </w:pPr>
  </w:style>
  <w:style w:type="paragraph" w:customStyle="1" w:styleId="ListNote">
    <w:name w:val="List Note"/>
    <w:basedOn w:val="List"/>
    <w:rsid w:val="00064ADB"/>
    <w:pPr>
      <w:pBdr>
        <w:top w:val="single" w:sz="6" w:space="2" w:color="918585"/>
        <w:bottom w:val="single" w:sz="6" w:space="2" w:color="918585"/>
      </w:pBdr>
      <w:tabs>
        <w:tab w:val="left" w:pos="1021"/>
      </w:tabs>
      <w:ind w:firstLine="0"/>
    </w:pPr>
  </w:style>
  <w:style w:type="paragraph" w:customStyle="1" w:styleId="Warning">
    <w:name w:val="Warning"/>
    <w:basedOn w:val="BodyText"/>
    <w:rsid w:val="00064ADB"/>
    <w:pPr>
      <w:shd w:val="clear" w:color="auto" w:fill="D9D9D9"/>
      <w:tabs>
        <w:tab w:val="left" w:pos="992"/>
      </w:tabs>
      <w:ind w:left="119" w:right="119"/>
    </w:pPr>
    <w:rPr>
      <w:sz w:val="20"/>
    </w:rPr>
  </w:style>
  <w:style w:type="paragraph" w:customStyle="1" w:styleId="MarginIcons">
    <w:name w:val="Margin Icons"/>
    <w:basedOn w:val="BodyText"/>
    <w:rsid w:val="00064A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4ADB"/>
    <w:rPr>
      <w:rFonts w:ascii="Courier New" w:hAnsi="Courier New"/>
    </w:rPr>
  </w:style>
  <w:style w:type="paragraph" w:customStyle="1" w:styleId="NoteBullet">
    <w:name w:val="Note Bullet"/>
    <w:basedOn w:val="Note"/>
    <w:rsid w:val="00064ADB"/>
    <w:pPr>
      <w:tabs>
        <w:tab w:val="clear" w:pos="680"/>
      </w:tabs>
      <w:spacing w:before="60" w:after="60"/>
    </w:pPr>
  </w:style>
  <w:style w:type="paragraph" w:customStyle="1" w:styleId="SubHeading2">
    <w:name w:val="SubHeading2"/>
    <w:basedOn w:val="HeadingBase"/>
    <w:rsid w:val="00064ADB"/>
    <w:pPr>
      <w:spacing w:before="240" w:after="60"/>
    </w:pPr>
    <w:rPr>
      <w:sz w:val="20"/>
    </w:rPr>
  </w:style>
  <w:style w:type="paragraph" w:customStyle="1" w:styleId="SubHeading1">
    <w:name w:val="SubHeading1"/>
    <w:basedOn w:val="HeadingBase"/>
    <w:rsid w:val="00064ADB"/>
    <w:pPr>
      <w:spacing w:before="240" w:after="60"/>
    </w:pPr>
    <w:rPr>
      <w:color w:val="918585"/>
      <w:sz w:val="22"/>
    </w:rPr>
  </w:style>
  <w:style w:type="paragraph" w:customStyle="1" w:styleId="SideHeading">
    <w:name w:val="Side Heading"/>
    <w:basedOn w:val="HeadingBase"/>
    <w:rsid w:val="00064A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4ADB"/>
    <w:pPr>
      <w:numPr>
        <w:numId w:val="12"/>
      </w:numPr>
    </w:pPr>
  </w:style>
  <w:style w:type="paragraph" w:styleId="PlainText">
    <w:name w:val="Plain Text"/>
    <w:basedOn w:val="Normal"/>
    <w:link w:val="PlainTextChar"/>
    <w:rsid w:val="00064ADB"/>
    <w:rPr>
      <w:sz w:val="20"/>
    </w:rPr>
  </w:style>
  <w:style w:type="character" w:customStyle="1" w:styleId="PlainTextChar">
    <w:name w:val="Plain Text Char"/>
    <w:basedOn w:val="DefaultParagraphFont"/>
    <w:link w:val="PlainText"/>
    <w:rsid w:val="00064AD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64ADB"/>
    <w:rPr>
      <w:b/>
      <w:smallCaps/>
    </w:rPr>
  </w:style>
  <w:style w:type="paragraph" w:customStyle="1" w:styleId="TableListNumber">
    <w:name w:val="Table List Number"/>
    <w:basedOn w:val="ListNumber"/>
    <w:rsid w:val="00064ADB"/>
    <w:pPr>
      <w:numPr>
        <w:numId w:val="0"/>
      </w:numPr>
    </w:pPr>
  </w:style>
  <w:style w:type="paragraph" w:styleId="TOC4">
    <w:name w:val="toc 4"/>
    <w:basedOn w:val="TOCBase"/>
    <w:next w:val="Normal"/>
    <w:semiHidden/>
    <w:rsid w:val="00064ADB"/>
    <w:pPr>
      <w:tabs>
        <w:tab w:val="right" w:leader="dot" w:pos="9071"/>
      </w:tabs>
      <w:ind w:left="1701"/>
    </w:pPr>
  </w:style>
  <w:style w:type="paragraph" w:customStyle="1" w:styleId="ListAlpha">
    <w:name w:val="List Alpha"/>
    <w:basedOn w:val="List"/>
    <w:rsid w:val="00064ADB"/>
    <w:pPr>
      <w:numPr>
        <w:numId w:val="9"/>
      </w:numPr>
    </w:pPr>
  </w:style>
  <w:style w:type="paragraph" w:customStyle="1" w:styleId="ListAlpha2">
    <w:name w:val="List Alpha 2"/>
    <w:basedOn w:val="List2"/>
    <w:rsid w:val="00064ADB"/>
    <w:pPr>
      <w:numPr>
        <w:numId w:val="8"/>
      </w:numPr>
    </w:pPr>
  </w:style>
  <w:style w:type="paragraph" w:styleId="List2">
    <w:name w:val="List 2"/>
    <w:basedOn w:val="BodyText"/>
    <w:rsid w:val="00064ADB"/>
    <w:pPr>
      <w:tabs>
        <w:tab w:val="left" w:pos="680"/>
      </w:tabs>
      <w:spacing w:before="60" w:after="60"/>
      <w:ind w:left="680" w:hanging="340"/>
    </w:pPr>
  </w:style>
  <w:style w:type="paragraph" w:styleId="List3">
    <w:name w:val="List 3"/>
    <w:basedOn w:val="BodyText"/>
    <w:rsid w:val="00064ADB"/>
    <w:pPr>
      <w:tabs>
        <w:tab w:val="left" w:pos="1021"/>
      </w:tabs>
      <w:spacing w:before="60" w:after="60"/>
      <w:ind w:left="1020" w:hanging="340"/>
    </w:pPr>
  </w:style>
  <w:style w:type="paragraph" w:styleId="List4">
    <w:name w:val="List 4"/>
    <w:basedOn w:val="BodyText"/>
    <w:rsid w:val="00064ADB"/>
    <w:pPr>
      <w:tabs>
        <w:tab w:val="left" w:pos="1361"/>
      </w:tabs>
      <w:spacing w:before="60" w:after="60"/>
      <w:ind w:left="1361" w:hanging="340"/>
    </w:pPr>
  </w:style>
  <w:style w:type="paragraph" w:styleId="List5">
    <w:name w:val="List 5"/>
    <w:basedOn w:val="BodyText"/>
    <w:rsid w:val="00064ADB"/>
    <w:pPr>
      <w:tabs>
        <w:tab w:val="left" w:pos="1701"/>
      </w:tabs>
      <w:spacing w:before="60" w:after="60"/>
      <w:ind w:left="1701" w:hanging="340"/>
    </w:pPr>
  </w:style>
  <w:style w:type="paragraph" w:styleId="ListBullet3">
    <w:name w:val="List Bullet 3"/>
    <w:basedOn w:val="List3"/>
    <w:rsid w:val="00064ADB"/>
    <w:pPr>
      <w:numPr>
        <w:numId w:val="15"/>
      </w:numPr>
      <w:tabs>
        <w:tab w:val="clear" w:pos="1021"/>
      </w:tabs>
      <w:ind w:left="1037" w:hanging="357"/>
    </w:pPr>
  </w:style>
  <w:style w:type="paragraph" w:styleId="ListBullet4">
    <w:name w:val="List Bullet 4"/>
    <w:basedOn w:val="List4"/>
    <w:rsid w:val="00064ADB"/>
    <w:pPr>
      <w:numPr>
        <w:numId w:val="3"/>
      </w:numPr>
    </w:pPr>
  </w:style>
  <w:style w:type="paragraph" w:styleId="ListBullet5">
    <w:name w:val="List Bullet 5"/>
    <w:basedOn w:val="List5"/>
    <w:rsid w:val="00064ADB"/>
    <w:pPr>
      <w:numPr>
        <w:numId w:val="4"/>
      </w:numPr>
    </w:pPr>
  </w:style>
  <w:style w:type="paragraph" w:styleId="ListContinue2">
    <w:name w:val="List Continue 2"/>
    <w:basedOn w:val="List2"/>
    <w:rsid w:val="00064ADB"/>
    <w:pPr>
      <w:ind w:firstLine="0"/>
    </w:pPr>
  </w:style>
  <w:style w:type="paragraph" w:styleId="ListContinue3">
    <w:name w:val="List Continue 3"/>
    <w:basedOn w:val="List3"/>
    <w:rsid w:val="00064ADB"/>
    <w:pPr>
      <w:ind w:left="1021" w:firstLine="0"/>
    </w:pPr>
  </w:style>
  <w:style w:type="paragraph" w:styleId="ListContinue4">
    <w:name w:val="List Continue 4"/>
    <w:basedOn w:val="List4"/>
    <w:rsid w:val="00064ADB"/>
    <w:pPr>
      <w:ind w:firstLine="0"/>
    </w:pPr>
  </w:style>
  <w:style w:type="paragraph" w:styleId="ListContinue5">
    <w:name w:val="List Continue 5"/>
    <w:basedOn w:val="List5"/>
    <w:rsid w:val="00064ADB"/>
    <w:pPr>
      <w:ind w:firstLine="0"/>
    </w:pPr>
  </w:style>
  <w:style w:type="paragraph" w:styleId="ListNumber3">
    <w:name w:val="List Number 3"/>
    <w:basedOn w:val="List3"/>
    <w:rsid w:val="00064ADB"/>
    <w:pPr>
      <w:numPr>
        <w:numId w:val="5"/>
      </w:numPr>
    </w:pPr>
  </w:style>
  <w:style w:type="paragraph" w:styleId="ListNumber4">
    <w:name w:val="List Number 4"/>
    <w:basedOn w:val="List4"/>
    <w:rsid w:val="00064ADB"/>
    <w:pPr>
      <w:numPr>
        <w:numId w:val="6"/>
      </w:numPr>
    </w:pPr>
  </w:style>
  <w:style w:type="paragraph" w:styleId="ListNumber5">
    <w:name w:val="List Number 5"/>
    <w:basedOn w:val="List5"/>
    <w:rsid w:val="00064ADB"/>
    <w:pPr>
      <w:numPr>
        <w:numId w:val="7"/>
      </w:numPr>
    </w:pPr>
  </w:style>
  <w:style w:type="paragraph" w:styleId="BlockText">
    <w:name w:val="Block Text"/>
    <w:basedOn w:val="Normal"/>
    <w:rsid w:val="00064ADB"/>
    <w:pPr>
      <w:spacing w:after="120"/>
      <w:ind w:left="1440" w:right="1440"/>
    </w:pPr>
  </w:style>
  <w:style w:type="character" w:customStyle="1" w:styleId="Subscript">
    <w:name w:val="Subscript"/>
    <w:basedOn w:val="DefaultParagraphFont"/>
    <w:rsid w:val="00064ADB"/>
    <w:rPr>
      <w:sz w:val="16"/>
      <w:vertAlign w:val="subscript"/>
    </w:rPr>
  </w:style>
  <w:style w:type="character" w:customStyle="1" w:styleId="Superscript">
    <w:name w:val="Superscript"/>
    <w:basedOn w:val="DefaultParagraphFont"/>
    <w:rsid w:val="00064ADB"/>
    <w:rPr>
      <w:sz w:val="16"/>
      <w:vertAlign w:val="superscript"/>
    </w:rPr>
  </w:style>
  <w:style w:type="character" w:customStyle="1" w:styleId="Symbols">
    <w:name w:val="Symbols"/>
    <w:basedOn w:val="DefaultParagraphFont"/>
    <w:rsid w:val="00064ADB"/>
    <w:rPr>
      <w:rFonts w:ascii="Symbol" w:hAnsi="Symbol"/>
    </w:rPr>
  </w:style>
  <w:style w:type="character" w:customStyle="1" w:styleId="MenuOptions">
    <w:name w:val="Menu Options"/>
    <w:basedOn w:val="DefaultParagraphFont"/>
    <w:rsid w:val="00064ADB"/>
    <w:rPr>
      <w:rFonts w:ascii="Arial Narrow" w:hAnsi="Arial Narrow"/>
      <w:smallCaps/>
    </w:rPr>
  </w:style>
  <w:style w:type="character" w:customStyle="1" w:styleId="Buttons">
    <w:name w:val="Buttons"/>
    <w:basedOn w:val="DefaultParagraphFont"/>
    <w:rsid w:val="00064ADB"/>
    <w:rPr>
      <w:b/>
    </w:rPr>
  </w:style>
  <w:style w:type="character" w:customStyle="1" w:styleId="Underlined">
    <w:name w:val="Underlined"/>
    <w:basedOn w:val="DefaultParagraphFont"/>
    <w:rsid w:val="00064ADB"/>
    <w:rPr>
      <w:u w:val="single"/>
    </w:rPr>
  </w:style>
  <w:style w:type="paragraph" w:customStyle="1" w:styleId="TableBodyTextRight">
    <w:name w:val="Table Body Text Right"/>
    <w:basedOn w:val="TableBodyText"/>
    <w:rsid w:val="00064ADB"/>
    <w:pPr>
      <w:widowControl w:val="0"/>
      <w:autoSpaceDE w:val="0"/>
      <w:autoSpaceDN w:val="0"/>
      <w:adjustRightInd w:val="0"/>
      <w:jc w:val="right"/>
    </w:pPr>
    <w:rPr>
      <w:rFonts w:cs="Arial"/>
      <w:szCs w:val="18"/>
    </w:rPr>
  </w:style>
  <w:style w:type="paragraph" w:customStyle="1" w:styleId="CopyrightText">
    <w:name w:val="Copyright Text"/>
    <w:basedOn w:val="BodyText"/>
    <w:rsid w:val="00064ADB"/>
    <w:rPr>
      <w:sz w:val="18"/>
    </w:rPr>
  </w:style>
  <w:style w:type="paragraph" w:customStyle="1" w:styleId="BodySmallRight">
    <w:name w:val="Body Small Right"/>
    <w:basedOn w:val="BodyTextRight"/>
    <w:rsid w:val="00064ADB"/>
    <w:rPr>
      <w:sz w:val="18"/>
      <w:szCs w:val="18"/>
    </w:rPr>
  </w:style>
  <w:style w:type="paragraph" w:customStyle="1" w:styleId="MarginEdition">
    <w:name w:val="Margin Edition"/>
    <w:basedOn w:val="MarginNote"/>
    <w:rsid w:val="00064ADB"/>
    <w:pPr>
      <w:spacing w:before="0" w:after="0"/>
    </w:pPr>
    <w:rPr>
      <w:rFonts w:ascii="Times New Roman" w:hAnsi="Times New Roman"/>
      <w:color w:val="999999"/>
    </w:rPr>
  </w:style>
  <w:style w:type="paragraph" w:customStyle="1" w:styleId="Spacer">
    <w:name w:val="Spacer"/>
    <w:basedOn w:val="Normal"/>
    <w:rsid w:val="00064ADB"/>
    <w:rPr>
      <w:sz w:val="2"/>
      <w:szCs w:val="2"/>
    </w:rPr>
  </w:style>
  <w:style w:type="character" w:customStyle="1" w:styleId="Small">
    <w:name w:val="Small"/>
    <w:basedOn w:val="DefaultParagraphFont"/>
    <w:rsid w:val="00064ADB"/>
    <w:rPr>
      <w:sz w:val="16"/>
    </w:rPr>
  </w:style>
  <w:style w:type="paragraph" w:customStyle="1" w:styleId="WideTable">
    <w:name w:val="Wide Table"/>
    <w:basedOn w:val="Normal"/>
    <w:rsid w:val="00064ADB"/>
    <w:pPr>
      <w:ind w:left="-1418"/>
    </w:pPr>
    <w:rPr>
      <w:sz w:val="2"/>
      <w:szCs w:val="2"/>
    </w:rPr>
  </w:style>
  <w:style w:type="character" w:styleId="PageNumber">
    <w:name w:val="page number"/>
    <w:basedOn w:val="DefaultParagraphFont"/>
    <w:rsid w:val="00064ADB"/>
  </w:style>
  <w:style w:type="paragraph" w:styleId="Quote">
    <w:name w:val="Quote"/>
    <w:basedOn w:val="Heading1"/>
    <w:link w:val="QuoteChar"/>
    <w:qFormat/>
    <w:rsid w:val="00064ADB"/>
    <w:rPr>
      <w:b w:val="0"/>
      <w:sz w:val="72"/>
      <w:szCs w:val="72"/>
      <w:lang w:val="en-NZ"/>
    </w:rPr>
  </w:style>
  <w:style w:type="character" w:customStyle="1" w:styleId="QuoteChar">
    <w:name w:val="Quote Char"/>
    <w:basedOn w:val="DefaultParagraphFont"/>
    <w:link w:val="Quote"/>
    <w:rsid w:val="00064A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4ADB"/>
    <w:pPr>
      <w:pageBreakBefore/>
    </w:pPr>
  </w:style>
  <w:style w:type="paragraph" w:customStyle="1" w:styleId="Border">
    <w:name w:val="Border"/>
    <w:basedOn w:val="Normal"/>
    <w:qFormat/>
    <w:rsid w:val="00064A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4ADB"/>
    <w:rPr>
      <w:b/>
      <w:bCs/>
      <w:i/>
      <w:iCs/>
      <w:color w:val="auto"/>
    </w:rPr>
  </w:style>
  <w:style w:type="paragraph" w:styleId="IntenseQuote">
    <w:name w:val="Intense Quote"/>
    <w:basedOn w:val="Normal"/>
    <w:next w:val="Normal"/>
    <w:link w:val="IntenseQuoteChar"/>
    <w:uiPriority w:val="30"/>
    <w:qFormat/>
    <w:rsid w:val="00064A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4AD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64ADB"/>
    <w:rPr>
      <w:smallCaps/>
      <w:color w:val="auto"/>
      <w:u w:val="single"/>
    </w:rPr>
  </w:style>
  <w:style w:type="character" w:styleId="IntenseReference">
    <w:name w:val="Intense Reference"/>
    <w:basedOn w:val="DefaultParagraphFont"/>
    <w:uiPriority w:val="32"/>
    <w:qFormat/>
    <w:rsid w:val="00064ADB"/>
    <w:rPr>
      <w:b/>
      <w:bCs/>
      <w:smallCaps/>
      <w:color w:val="auto"/>
      <w:spacing w:val="5"/>
      <w:u w:val="single"/>
    </w:rPr>
  </w:style>
  <w:style w:type="paragraph" w:customStyle="1" w:styleId="2ColumnHeading">
    <w:name w:val="2Column Heading"/>
    <w:basedOn w:val="BodyText"/>
    <w:qFormat/>
    <w:rsid w:val="00064ADB"/>
    <w:pPr>
      <w:spacing w:after="60"/>
      <w:ind w:left="-2268"/>
    </w:pPr>
    <w:rPr>
      <w:b/>
    </w:rPr>
  </w:style>
  <w:style w:type="paragraph" w:customStyle="1" w:styleId="Heading1TOC">
    <w:name w:val="Heading1 TOC"/>
    <w:basedOn w:val="Normal"/>
    <w:qFormat/>
    <w:rsid w:val="00064ADB"/>
    <w:pPr>
      <w:spacing w:before="240" w:after="120"/>
    </w:pPr>
    <w:rPr>
      <w:rFonts w:ascii="Times New Roman" w:hAnsi="Times New Roman"/>
      <w:b/>
      <w:sz w:val="32"/>
    </w:rPr>
  </w:style>
  <w:style w:type="paragraph" w:customStyle="1" w:styleId="Heading2TOC">
    <w:name w:val="Heading2 TOC"/>
    <w:basedOn w:val="Normal"/>
    <w:qFormat/>
    <w:rsid w:val="00064ADB"/>
    <w:pPr>
      <w:spacing w:before="240" w:after="60"/>
    </w:pPr>
    <w:rPr>
      <w:rFonts w:ascii="Times New Roman" w:hAnsi="Times New Roman"/>
      <w:b/>
      <w:sz w:val="28"/>
    </w:rPr>
  </w:style>
  <w:style w:type="character" w:customStyle="1" w:styleId="Underline">
    <w:name w:val="Underline"/>
    <w:basedOn w:val="DefaultParagraphFont"/>
    <w:qFormat/>
    <w:rsid w:val="00064ADB"/>
    <w:rPr>
      <w:u w:val="single"/>
    </w:rPr>
  </w:style>
  <w:style w:type="character" w:customStyle="1" w:styleId="BoldandItalics">
    <w:name w:val="Bold and Italics"/>
    <w:qFormat/>
    <w:rsid w:val="00064ADB"/>
    <w:rPr>
      <w:b/>
      <w:i/>
      <w:u w:val="none"/>
    </w:rPr>
  </w:style>
  <w:style w:type="paragraph" w:styleId="BalloonText">
    <w:name w:val="Balloon Text"/>
    <w:basedOn w:val="Normal"/>
    <w:link w:val="BalloonTextChar"/>
    <w:rsid w:val="00064ADB"/>
    <w:rPr>
      <w:rFonts w:ascii="Tahoma" w:hAnsi="Tahoma" w:cs="Tahoma"/>
      <w:sz w:val="16"/>
      <w:szCs w:val="16"/>
    </w:rPr>
  </w:style>
  <w:style w:type="character" w:customStyle="1" w:styleId="BalloonTextChar">
    <w:name w:val="Balloon Text Char"/>
    <w:basedOn w:val="DefaultParagraphFont"/>
    <w:link w:val="BalloonText"/>
    <w:rsid w:val="00064AD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64AD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64AD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1792</Words>
  <Characters>11404</Characters>
  <Application>Microsoft Office Word</Application>
  <DocSecurity>0</DocSecurity>
  <Lines>352</Lines>
  <Paragraphs>238</Paragraphs>
  <ScaleCrop>false</ScaleCrop>
  <Company>Author-it Software Corporation Ltd.</Company>
  <LinksUpToDate>false</LinksUpToDate>
  <CharactersWithSpaces>13111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FDFCEL3001A Perform second distillation (pot still brandy) operations</dc:title>
  <dc:subject>Approved</dc:subject>
  <dc:creator>AgriFood Skills Australia</dc:creator>
  <cp:keywords>Release: 2</cp:keywords>
  <dc:description>Copyright © 1996-2007 Author-it Software Corporation Ltd., all rights reserved.</dc:description>
  <cp:lastModifiedBy>Windows User</cp:lastModifiedBy>
  <cp:revision>3</cp:revision>
  <dcterms:created xsi:type="dcterms:W3CDTF">2012-05-26T06:38:00Z</dcterms:created>
  <dcterms:modified xsi:type="dcterms:W3CDTF">2012-05-26T06:38:00Z</dcterms:modified>
</cp:coreProperties>
</file>