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359C" w:rsidP="002D359C">
      <w:pPr>
        <w:pStyle w:val="Title"/>
      </w:pPr>
      <w:r>
        <w:fldChar w:fldCharType="begin"/>
      </w:r>
      <w:r>
        <w:instrText xml:space="preserve"> TITLE   \* MERGEFORMAT </w:instrText>
      </w:r>
      <w:r>
        <w:fldChar w:fldCharType="separate"/>
      </w:r>
      <w:r>
        <w:t>FDFAU4005A Audit bivalve mollusc growing and harvesting processes</w:t>
      </w:r>
      <w:r>
        <w:fldChar w:fldCharType="end"/>
      </w:r>
    </w:p>
    <w:p w:rsidR="002D359C" w:rsidP="002D359C">
      <w:pPr>
        <w:pStyle w:val="Version"/>
        <w:sectPr w:rsidSect="00A43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43F63" w:rsidP="00A43F63">
      <w:pPr>
        <w:pStyle w:val="SuperHeading"/>
      </w:pPr>
      <w:r w:rsidRPr="00A43F63">
        <w:t>FDFAU4005A Audit bivalve mollusc growing and harvesting processes</w:t>
      </w:r>
    </w:p>
    <w:p w:rsidR="00000000" w:rsidRPr="00A43F63" w:rsidP="00A43F63">
      <w:pPr>
        <w:pStyle w:val="SuperHeading"/>
      </w:pPr>
    </w:p>
    <w:p w:rsidR="00000000" w:rsidRPr="00A43F63" w:rsidP="00A43F63">
      <w:pPr>
        <w:pStyle w:val="Heading1"/>
      </w:pPr>
      <w:bookmarkStart w:id="1" w:name="O_74139"/>
      <w:bookmarkEnd w:id="1"/>
      <w:r w:rsidRPr="00A43F63">
        <w:t>Modification History</w:t>
      </w:r>
    </w:p>
    <w:p w:rsidR="00000000" w:rsidRPr="00A43F63" w:rsidP="00A43F63">
      <w:pPr>
        <w:pStyle w:val="BodyText"/>
      </w:pPr>
      <w:r w:rsidRPr="00A43F63">
        <w:t>Not applicable.</w:t>
      </w:r>
    </w:p>
    <w:p w:rsidR="00000000" w:rsidRPr="00A43F63" w:rsidP="00A43F63">
      <w:pPr>
        <w:pStyle w:val="AllowPageBreak"/>
      </w:pPr>
    </w:p>
    <w:p w:rsidR="00000000" w:rsidRPr="00A43F63" w:rsidP="00A43F63">
      <w:pPr>
        <w:pStyle w:val="Heading1"/>
      </w:pPr>
      <w:bookmarkStart w:id="2" w:name="O_74140"/>
      <w:bookmarkEnd w:id="2"/>
      <w:r w:rsidRPr="00A43F63">
        <w:t>Unit Descriptor</w:t>
      </w:r>
    </w:p>
    <w:tbl>
      <w:tblPr>
        <w:tblW w:w="0" w:type="auto"/>
        <w:tblLayout w:type="fixed"/>
        <w:tblCellMar>
          <w:left w:w="62" w:type="dxa"/>
          <w:right w:w="62" w:type="dxa"/>
        </w:tblCellMar>
        <w:tblLook w:val="0000"/>
      </w:tblPr>
      <w:tblGrid>
        <w:gridCol w:w="2664"/>
        <w:gridCol w:w="5858"/>
      </w:tblGrid>
      <w:tr w:rsidTr="002D359C">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 xml:space="preserve">This unit of competency covers the skills and knowledge to support a food safety audit </w:t>
            </w:r>
            <w:r w:rsidRPr="00A43F63">
              <w:t>of food safety programs of bivalve mollusc producers.</w:t>
            </w:r>
          </w:p>
          <w:p w:rsidR="00000000" w:rsidRPr="00A43F63" w:rsidP="00A43F63">
            <w:pPr>
              <w:pStyle w:val="BodyText"/>
            </w:pPr>
            <w:r w:rsidRPr="00A43F63">
              <w:t xml:space="preserve">The unit covers on-shore and wild growing, harvesting, cleaning, post-harvest handling and storage, stock movement, depuration (where applicable) and wet storage. </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3" w:name="O_74141"/>
      <w:bookmarkEnd w:id="3"/>
      <w:r w:rsidRPr="00A43F63">
        <w:t>Application of the Unit</w:t>
      </w:r>
    </w:p>
    <w:tbl>
      <w:tblPr>
        <w:tblW w:w="0" w:type="auto"/>
        <w:tblLayout w:type="fixed"/>
        <w:tblCellMar>
          <w:left w:w="62" w:type="dxa"/>
          <w:right w:w="62" w:type="dxa"/>
        </w:tblCellMar>
        <w:tblLook w:val="0000"/>
      </w:tblPr>
      <w:tblGrid>
        <w:gridCol w:w="2751"/>
        <w:gridCol w:w="5771"/>
      </w:tblGrid>
      <w:tr w:rsidTr="002D359C">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This unit applies to the role of a food safety auditor responsible for auditing a bivalve mollusc growing and harvesting process. These audits would typically occur within the context of auditing a HACCP-base</w:t>
            </w:r>
            <w:r w:rsidRPr="00A43F63">
              <w:t>d food safety program that defines related prerequisite program requirements. The audits are supported by state and territory government regulations for prescribing processes and requirements relating to the production of bivalve molluscs.</w:t>
            </w:r>
          </w:p>
          <w:p w:rsidR="00000000" w:rsidRPr="00A43F63" w:rsidP="00A43F63">
            <w:pPr>
              <w:pStyle w:val="BodyText"/>
            </w:pPr>
            <w:r w:rsidRPr="00A43F63">
              <w:t>This unit does n</w:t>
            </w:r>
            <w:r w:rsidRPr="00A43F63">
              <w:t>ot cover the skills and knowledge to audit the classification of growing areas.</w:t>
            </w:r>
          </w:p>
          <w:p w:rsidR="00000000" w:rsidRPr="00A43F63" w:rsidP="00A43F63">
            <w:pPr>
              <w:pStyle w:val="BodyText"/>
            </w:pPr>
            <w:r w:rsidRPr="00A43F63">
              <w:t>This unit supports relevant legislation, such as food standards contained in the Food Standards Code and industry codes of practice relating to validation and verification of a</w:t>
            </w:r>
            <w:r w:rsidRPr="00A43F63">
              <w:t xml:space="preserve"> HACCP-based food safety program, and should be read in conjunction with these documents.</w:t>
            </w:r>
          </w:p>
          <w:p w:rsidR="00000000" w:rsidRPr="00A43F63" w:rsidP="00A43F63">
            <w:pPr>
              <w:pStyle w:val="BodyText"/>
            </w:pPr>
            <w:r w:rsidRPr="00A43F63">
              <w:t>Both regulatory and commercial audit system owners may specify additional certification requirements of auditors eligible to audit food safety programs within their s</w:t>
            </w:r>
            <w:r w:rsidRPr="00A43F63">
              <w:t>ystem.</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4" w:name="O_74142"/>
      <w:bookmarkEnd w:id="4"/>
      <w:r w:rsidRPr="00A43F63">
        <w:t>Licensing/Regulatory Information</w:t>
      </w:r>
    </w:p>
    <w:p w:rsidR="00000000" w:rsidRPr="00A43F63" w:rsidP="00A43F63">
      <w:pPr>
        <w:pStyle w:val="BodyText"/>
      </w:pPr>
      <w:r w:rsidRPr="00A43F63">
        <w:t>Not applicable.</w:t>
      </w:r>
    </w:p>
    <w:p w:rsidR="00000000" w:rsidRPr="00A43F63" w:rsidP="00A43F63">
      <w:pPr>
        <w:pStyle w:val="AllowPageBreak"/>
      </w:pPr>
    </w:p>
    <w:p w:rsidR="00000000" w:rsidRPr="00A43F63" w:rsidP="00A43F63">
      <w:pPr>
        <w:pStyle w:val="Heading1"/>
      </w:pPr>
      <w:bookmarkStart w:id="5" w:name="O_74144"/>
      <w:bookmarkEnd w:id="5"/>
      <w:r w:rsidRPr="00A43F63">
        <w:t>Pre-Requisites</w:t>
      </w:r>
    </w:p>
    <w:tbl>
      <w:tblPr>
        <w:tblW w:w="0" w:type="auto"/>
        <w:tblLayout w:type="fixed"/>
        <w:tblCellMar>
          <w:left w:w="62" w:type="dxa"/>
          <w:right w:w="62" w:type="dxa"/>
        </w:tblCellMar>
        <w:tblLook w:val="0000"/>
      </w:tblPr>
      <w:tblGrid>
        <w:gridCol w:w="2690"/>
        <w:gridCol w:w="2293"/>
        <w:gridCol w:w="3539"/>
      </w:tblGrid>
      <w:tr w:rsidTr="002D359C">
        <w:tblPrEx>
          <w:tblW w:w="0" w:type="auto"/>
          <w:tblLayout w:type="fixed"/>
          <w:tblCellMar>
            <w:left w:w="62" w:type="dxa"/>
            <w:right w:w="62" w:type="dxa"/>
          </w:tblCellMar>
          <w:tblLook w:val="0000"/>
        </w:tblPrEx>
        <w:trPr>
          <w:tblHeader/>
        </w:trPr>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Prerequisite units</w:t>
            </w:r>
          </w:p>
        </w:tc>
        <w:tc>
          <w:tcPr>
            <w:tcW w:w="583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p>
        </w:tc>
      </w:tr>
      <w:tr w:rsidTr="002D359C">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 xml:space="preserve">FDFAU4002A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Communicate and negotiate to conduct food safety audits</w:t>
            </w:r>
          </w:p>
        </w:tc>
      </w:tr>
      <w:tr w:rsidTr="002D359C">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 xml:space="preserve">FDFAU4003A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Conduct food safety audits</w:t>
            </w:r>
          </w:p>
        </w:tc>
      </w:tr>
      <w:tr w:rsidTr="002D359C">
        <w:tblPrEx>
          <w:tblW w:w="0" w:type="auto"/>
          <w:tblLayout w:type="fixed"/>
          <w:tblCellMar>
            <w:left w:w="62" w:type="dxa"/>
            <w:right w:w="62" w:type="dxa"/>
          </w:tblCellMar>
          <w:tblLook w:val="0000"/>
        </w:tblPrEx>
        <w:tc>
          <w:tcPr>
            <w:tcW w:w="2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 xml:space="preserve">FDFAU4004A </w:t>
            </w:r>
          </w:p>
        </w:tc>
        <w:tc>
          <w:tcPr>
            <w:tcW w:w="35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Identify, evaluate and control food safety hazards</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6" w:name="O_74143"/>
      <w:bookmarkEnd w:id="6"/>
      <w:r w:rsidRPr="00A43F63">
        <w:t>Employability Skills Information</w:t>
      </w:r>
    </w:p>
    <w:tbl>
      <w:tblPr>
        <w:tblW w:w="0" w:type="auto"/>
        <w:tblLayout w:type="fixed"/>
        <w:tblCellMar>
          <w:left w:w="62" w:type="dxa"/>
          <w:right w:w="62" w:type="dxa"/>
        </w:tblCellMar>
        <w:tblLook w:val="0000"/>
      </w:tblPr>
      <w:tblGrid>
        <w:gridCol w:w="2802"/>
        <w:gridCol w:w="5720"/>
      </w:tblGrid>
      <w:tr w:rsidTr="002D359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 xml:space="preserve">This unit contains employability skills.  </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7" w:name="O_74145"/>
      <w:bookmarkEnd w:id="7"/>
      <w:r w:rsidRPr="00A43F63">
        <w:t>Elements and Performance Criteria Pre-Content</w:t>
      </w:r>
    </w:p>
    <w:tbl>
      <w:tblPr>
        <w:tblW w:w="0" w:type="auto"/>
        <w:tblLayout w:type="fixed"/>
        <w:tblCellMar>
          <w:left w:w="62" w:type="dxa"/>
          <w:right w:w="62" w:type="dxa"/>
        </w:tblCellMar>
        <w:tblLook w:val="0000"/>
      </w:tblPr>
      <w:tblGrid>
        <w:gridCol w:w="2527"/>
        <w:gridCol w:w="5995"/>
      </w:tblGrid>
      <w:tr w:rsidTr="002D359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Performance criteria describe the performance needed to demonstrate achievement of the element. Where bold italicised text is used, further information is detailed in the required skills and</w:t>
            </w:r>
            <w:r w:rsidRPr="00A43F63">
              <w:t xml:space="preserve"> knowledge section and the range statement. Assessment of performance is to be consistent with the evidence guide.</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8" w:name="O_74146"/>
      <w:bookmarkEnd w:id="8"/>
      <w:r w:rsidRPr="00A43F63">
        <w:t>Elements and Performance Criteria</w:t>
      </w:r>
    </w:p>
    <w:tbl>
      <w:tblPr>
        <w:tblW w:w="0" w:type="auto"/>
        <w:tblLayout w:type="fixed"/>
        <w:tblCellMar>
          <w:left w:w="62" w:type="dxa"/>
          <w:right w:w="62" w:type="dxa"/>
        </w:tblCellMar>
        <w:tblLook w:val="0000"/>
      </w:tblPr>
      <w:tblGrid>
        <w:gridCol w:w="2527"/>
        <w:gridCol w:w="5995"/>
      </w:tblGrid>
      <w:tr w:rsidTr="002D359C">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PERFORMANCE CRITERIA</w:t>
            </w:r>
          </w:p>
        </w:tc>
      </w:tr>
      <w:tr w:rsidTr="002D359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List"/>
              <w:rPr>
                <w:lang w:val="en-NZ"/>
              </w:rPr>
            </w:pPr>
            <w:r w:rsidRPr="00A43F63">
              <w:t>1.</w:t>
            </w:r>
            <w:r w:rsidRPr="00A43F63">
              <w:tab/>
            </w:r>
            <w:r w:rsidRPr="00A43F63">
              <w:t>Identify and assess food safety hazards and related control options for growing and harvesting bivalve molluscs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List2"/>
            </w:pPr>
            <w:r w:rsidRPr="00A43F63">
              <w:t>1.1.</w:t>
            </w:r>
            <w:r w:rsidRPr="00A43F63">
              <w:tab/>
              <w:t>Microbiological food safety hazards that could present a risk in bivalve molluscs at the point of consumption are identified by type and or</w:t>
            </w:r>
            <w:r w:rsidRPr="00A43F63">
              <w:t>igin and assessed to determine risk level and control requirements</w:t>
            </w:r>
          </w:p>
          <w:p w:rsidR="00000000" w:rsidRPr="00A43F63" w:rsidP="00A43F63">
            <w:pPr>
              <w:pStyle w:val="List2"/>
            </w:pPr>
            <w:r w:rsidRPr="00A43F63">
              <w:t>1.2.</w:t>
            </w:r>
            <w:r w:rsidRPr="00A43F63">
              <w:tab/>
              <w:t xml:space="preserve">Chemical food safety hazards that could present a risk in bivalve molluscs at the point of consumption, including toxin presence, are identified by type and assessed to determine risk </w:t>
            </w:r>
            <w:r w:rsidRPr="00A43F63">
              <w:t>level and control requirements</w:t>
            </w:r>
          </w:p>
          <w:p w:rsidR="00000000" w:rsidP="00A43F63">
            <w:pPr>
              <w:pStyle w:val="List2"/>
              <w:rPr>
                <w:lang w:val="en-NZ"/>
              </w:rPr>
            </w:pPr>
            <w:r w:rsidRPr="00A43F63">
              <w:t>1.3.</w:t>
            </w:r>
            <w:r w:rsidRPr="00A43F63">
              <w:tab/>
              <w:t>Control requirements and methods to ensure that bivalve molluscs meet food safety objectives are identified</w:t>
            </w:r>
          </w:p>
        </w:tc>
      </w:tr>
      <w:tr w:rsidTr="002D359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List"/>
              <w:rPr>
                <w:lang w:val="en-NZ"/>
              </w:rPr>
            </w:pPr>
            <w:r w:rsidRPr="00A43F63">
              <w:t>2.</w:t>
            </w:r>
            <w:r w:rsidRPr="00A43F63">
              <w:tab/>
              <w:t>Confirm that appropriate evidence supports validation of growing and harvesting bivalve molluscs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List2"/>
            </w:pPr>
            <w:r w:rsidRPr="00A43F63">
              <w:t>2.1.</w:t>
            </w:r>
            <w:r w:rsidRPr="00A43F63">
              <w:tab/>
              <w:t>Valida</w:t>
            </w:r>
            <w:r w:rsidRPr="00A43F63">
              <w:t>tion evidence and records are reviewed to confirm that an appropriate level of validation has been applied</w:t>
            </w:r>
          </w:p>
          <w:p w:rsidR="00000000" w:rsidP="00A43F63">
            <w:pPr>
              <w:pStyle w:val="List2"/>
              <w:rPr>
                <w:lang w:val="en-NZ"/>
              </w:rPr>
            </w:pPr>
            <w:r w:rsidRPr="00A43F63">
              <w:t>2.2.</w:t>
            </w:r>
            <w:r w:rsidRPr="00A43F63">
              <w:tab/>
              <w:t>Evidence used by the business to validate the process is identified and assessed to confirm that it is credible and adequate to meet the food sa</w:t>
            </w:r>
            <w:r w:rsidRPr="00A43F63">
              <w:t>fety objective</w:t>
            </w:r>
          </w:p>
        </w:tc>
      </w:tr>
      <w:tr w:rsidTr="002D359C">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List"/>
              <w:rPr>
                <w:lang w:val="en-NZ"/>
              </w:rPr>
            </w:pPr>
            <w:r w:rsidRPr="00A43F63">
              <w:t>3.</w:t>
            </w:r>
            <w:r w:rsidRPr="00A43F63">
              <w:tab/>
              <w:t>Verify bivalve mollusc growing and harvesting processes</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List2"/>
            </w:pPr>
            <w:r w:rsidRPr="00A43F63">
              <w:t>3.1.</w:t>
            </w:r>
            <w:r w:rsidRPr="00A43F63">
              <w:tab/>
              <w:t>System records required to support verification against relevant shellfish quality programs are identified, collected and reviewed</w:t>
            </w:r>
          </w:p>
          <w:p w:rsidR="00000000" w:rsidRPr="00A43F63" w:rsidP="00A43F63">
            <w:pPr>
              <w:pStyle w:val="List2"/>
            </w:pPr>
            <w:r w:rsidRPr="00A43F63">
              <w:t>3.2.</w:t>
            </w:r>
            <w:r w:rsidRPr="00A43F63">
              <w:tab/>
            </w:r>
            <w:r w:rsidRPr="00A43F63">
              <w:t>Business documentation is reviewed and inspections are conducted to confirm that facilities and equipment design and components comply with regulatory and business standards</w:t>
            </w:r>
          </w:p>
          <w:p w:rsidR="00000000" w:rsidRPr="00A43F63" w:rsidP="00A43F63">
            <w:pPr>
              <w:pStyle w:val="List2"/>
            </w:pPr>
            <w:r w:rsidRPr="00A43F63">
              <w:t>3.3.</w:t>
            </w:r>
            <w:r w:rsidRPr="00A43F63">
              <w:tab/>
              <w:t>Business documentation is reviewed and inspections are conducted to confirm t</w:t>
            </w:r>
            <w:r w:rsidRPr="00A43F63">
              <w:t>hat operational monitoring and testing procedures and frequency meet regulatory requirements, and industry and business standards</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9" w:name="O_74147"/>
      <w:bookmarkEnd w:id="9"/>
      <w:r w:rsidRPr="00A43F63">
        <w:t>Required Skills and Knowledge</w:t>
      </w:r>
    </w:p>
    <w:tbl>
      <w:tblPr>
        <w:tblW w:w="0" w:type="auto"/>
        <w:tblLayout w:type="fixed"/>
        <w:tblCellMar>
          <w:left w:w="62" w:type="dxa"/>
          <w:right w:w="62" w:type="dxa"/>
        </w:tblCellMar>
        <w:tblLook w:val="0000"/>
      </w:tblPr>
      <w:tblGrid>
        <w:gridCol w:w="8522"/>
      </w:tblGrid>
      <w:tr w:rsidTr="002D359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REQUIRED SKILLS AND KNOWLEDGE</w:t>
            </w:r>
          </w:p>
        </w:tc>
      </w:tr>
      <w:tr w:rsidTr="002D359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 xml:space="preserve">This section describes the skills and knowledge </w:t>
            </w:r>
            <w:r w:rsidRPr="00A43F63">
              <w:t>required for this unit.</w:t>
            </w:r>
          </w:p>
        </w:tc>
      </w:tr>
      <w:tr w:rsidTr="002D3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Required skills</w:t>
            </w:r>
          </w:p>
        </w:tc>
      </w:tr>
      <w:tr w:rsidTr="002D3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rPr>
                <w:rStyle w:val="BoldandItalics"/>
              </w:rPr>
              <w:t>Ability to</w:t>
            </w:r>
          </w:p>
          <w:p w:rsidR="00000000" w:rsidRPr="00A43F63" w:rsidP="00A43F63">
            <w:pPr>
              <w:pStyle w:val="ListBullet"/>
            </w:pPr>
            <w:r w:rsidRPr="00A43F63">
              <w:t>interpret and apply relevant legislation, codes of practice and technical standards relating to growing and harvesting bivalve molluscs</w:t>
            </w:r>
          </w:p>
          <w:p w:rsidR="00000000" w:rsidRPr="00A43F63" w:rsidP="00A43F63">
            <w:pPr>
              <w:pStyle w:val="ListBullet"/>
            </w:pPr>
            <w:r w:rsidRPr="00A43F63">
              <w:t>identify microbiological and chemical food safety hazards to be controlled by bivalve mollusc growing and harvesting practices and processes</w:t>
            </w:r>
          </w:p>
          <w:p w:rsidR="00000000" w:rsidRPr="00A43F63" w:rsidP="00A43F63">
            <w:pPr>
              <w:pStyle w:val="ListBullet"/>
            </w:pPr>
            <w:r w:rsidRPr="00A43F63">
              <w:t>inspect facilities and equipment to confirm that regulatory, industry and business standards are met</w:t>
            </w:r>
          </w:p>
          <w:p w:rsidR="00000000" w:rsidRPr="00A43F63" w:rsidP="00A43F63">
            <w:pPr>
              <w:pStyle w:val="ListBullet"/>
            </w:pPr>
            <w:r w:rsidRPr="00A43F63">
              <w:t>review evidenc</w:t>
            </w:r>
            <w:r w:rsidRPr="00A43F63">
              <w:t>e used to validate the food safety control process</w:t>
            </w:r>
          </w:p>
          <w:p w:rsidR="00000000" w:rsidP="00A43F63">
            <w:pPr>
              <w:pStyle w:val="ListBullet"/>
              <w:rPr>
                <w:lang w:val="en-NZ"/>
              </w:rPr>
            </w:pPr>
            <w:r w:rsidRPr="00A43F63">
              <w:t>review workplace records and other documentation to verify that the food safety program relating to the production of bivalve molluscs meets regulatory requirements and is effectively implemented</w:t>
            </w:r>
          </w:p>
        </w:tc>
      </w:tr>
      <w:tr w:rsidTr="002D3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Required knowledge</w:t>
            </w:r>
          </w:p>
        </w:tc>
      </w:tr>
      <w:tr w:rsidTr="002D359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rPr>
                <w:rStyle w:val="BoldandItalics"/>
              </w:rPr>
              <w:t>Knowledge of</w:t>
            </w:r>
            <w:r w:rsidRPr="00A43F63">
              <w:t>:</w:t>
            </w:r>
          </w:p>
          <w:p w:rsidR="00000000" w:rsidRPr="00A43F63" w:rsidP="00A43F63">
            <w:pPr>
              <w:pStyle w:val="ListBullet"/>
            </w:pPr>
            <w:r w:rsidRPr="00A43F63">
              <w:t>regulations, codes of practice, guidelines and Australian standards relating to production of bivalve molluscs and related role of government in overseeing implementation of shellfish quality programs</w:t>
            </w:r>
          </w:p>
          <w:p w:rsidR="00000000" w:rsidRPr="00A43F63" w:rsidP="00A43F63">
            <w:pPr>
              <w:pStyle w:val="ListBullet"/>
            </w:pPr>
            <w:r w:rsidRPr="00A43F63">
              <w:t>basic biology and ph</w:t>
            </w:r>
            <w:r w:rsidRPr="00A43F63">
              <w:t>ysiology of bivalve molluscs and related sources of food safety risk</w:t>
            </w:r>
          </w:p>
          <w:p w:rsidR="00000000" w:rsidRPr="00A43F63" w:rsidP="00A43F63">
            <w:pPr>
              <w:pStyle w:val="ListBullet"/>
            </w:pPr>
            <w:r w:rsidRPr="00A43F63">
              <w:t>pathogens that can occur in bivalve molluscs and related survival and growth characteristics and control methods</w:t>
            </w:r>
          </w:p>
          <w:p w:rsidR="00000000" w:rsidRPr="00A43F63" w:rsidP="00A43F63">
            <w:pPr>
              <w:pStyle w:val="ListBullet"/>
            </w:pPr>
            <w:r w:rsidRPr="00A43F63">
              <w:t>chemicals that pose a food safety risk in bivalve molluscs</w:t>
            </w:r>
          </w:p>
          <w:p w:rsidR="00000000" w:rsidRPr="00A43F63" w:rsidP="00A43F63">
            <w:pPr>
              <w:pStyle w:val="ListBullet"/>
            </w:pPr>
            <w:r w:rsidRPr="00A43F63">
              <w:t>sources of envi</w:t>
            </w:r>
            <w:r w:rsidRPr="00A43F63">
              <w:t>ronmental contamination that can present a food safety risk in the growing and harvesting of bivalve molluscs and related food safety controls, including risks associated with both on-shore and wild fisheries</w:t>
            </w:r>
          </w:p>
          <w:p w:rsidR="00000000" w:rsidRPr="00A43F63" w:rsidP="00A43F63">
            <w:pPr>
              <w:pStyle w:val="ListBullet"/>
            </w:pPr>
            <w:r w:rsidRPr="00A43F63">
              <w:t xml:space="preserve">sources of information on acceptable and legal </w:t>
            </w:r>
            <w:r w:rsidRPr="00A43F63">
              <w:t>product quality requirements, including legal limits to ensure product safety</w:t>
            </w:r>
          </w:p>
          <w:p w:rsidR="00000000" w:rsidRPr="00A43F63" w:rsidP="00A43F63">
            <w:pPr>
              <w:pStyle w:val="ListBullet"/>
            </w:pPr>
            <w:r w:rsidRPr="00A43F63">
              <w:t>classifications applying to harvesting areas, system for monitoring and determining status, sources of advice on classification and methods of communicating classification inform</w:t>
            </w:r>
            <w:r w:rsidRPr="00A43F63">
              <w:t>ation</w:t>
            </w:r>
          </w:p>
          <w:p w:rsidR="00000000" w:rsidRPr="00A43F63" w:rsidP="00A43F63">
            <w:pPr>
              <w:pStyle w:val="ListBullet"/>
            </w:pPr>
            <w:r w:rsidRPr="00A43F63">
              <w:t>sources of pre- and post-harvest contamination and related control requirements</w:t>
            </w:r>
          </w:p>
          <w:p w:rsidR="00000000" w:rsidRPr="00A43F63" w:rsidP="00A43F63">
            <w:pPr>
              <w:pStyle w:val="ListBullet"/>
            </w:pPr>
            <w:r w:rsidRPr="00A43F63">
              <w:t>risks and related control methods to prevent cross-contamination, including sorting and cleaning</w:t>
            </w:r>
          </w:p>
          <w:p w:rsidR="00000000" w:rsidRPr="00A43F63" w:rsidP="00A43F63">
            <w:pPr>
              <w:pStyle w:val="ListBullet"/>
            </w:pPr>
            <w:r w:rsidRPr="00A43F63">
              <w:t>prerequisite programs required to support bivalve mollusc growing and har</w:t>
            </w:r>
            <w:r w:rsidRPr="00A43F63">
              <w:t>vesting</w:t>
            </w:r>
          </w:p>
          <w:p w:rsidR="00000000" w:rsidRPr="00A43F63" w:rsidP="00A43F63">
            <w:pPr>
              <w:pStyle w:val="ListBullet"/>
            </w:pPr>
            <w:r w:rsidRPr="00A43F63">
              <w:t>basic principles of water sampling and test methods</w:t>
            </w:r>
          </w:p>
          <w:p w:rsidR="00000000" w:rsidRPr="00A43F63" w:rsidP="00A43F63">
            <w:pPr>
              <w:pStyle w:val="ListBullet"/>
            </w:pPr>
            <w:r w:rsidRPr="00A43F63">
              <w:t>principles and associated control measures relating to effective purging of shellfish, including methods, such as relaying and depuration, when practised in accordance with state and territory legal and regulatory requirements</w:t>
            </w:r>
          </w:p>
          <w:p w:rsidR="00000000" w:rsidRPr="00A43F63" w:rsidP="00A43F63">
            <w:pPr>
              <w:pStyle w:val="ListBullet"/>
            </w:pPr>
            <w:r w:rsidRPr="00A43F63">
              <w:t>risks associated with depurat</w:t>
            </w:r>
            <w:r w:rsidRPr="00A43F63">
              <w:t>ion and wet storage methods, and related control methods and prerequisite programs that meet legal requirements</w:t>
            </w:r>
          </w:p>
          <w:p w:rsidR="00000000" w:rsidRPr="00A43F63" w:rsidP="00A43F63">
            <w:pPr>
              <w:pStyle w:val="ListBullet"/>
            </w:pPr>
            <w:r w:rsidRPr="00A43F63">
              <w:t>sources of pre- and post-harvest contamination, such as sewage, algal biotoxins and vibrio organisms and related control requirements</w:t>
            </w:r>
          </w:p>
          <w:p w:rsidR="00000000" w:rsidRPr="00A43F63" w:rsidP="00A43F63">
            <w:pPr>
              <w:pStyle w:val="ListBullet"/>
            </w:pPr>
            <w:r w:rsidRPr="00A43F63">
              <w:t>stock hand</w:t>
            </w:r>
            <w:r w:rsidRPr="00A43F63">
              <w:t>ling and storage risks and control methods</w:t>
            </w:r>
          </w:p>
          <w:p w:rsidR="00000000" w:rsidRPr="00A43F63" w:rsidP="00A43F63">
            <w:pPr>
              <w:pStyle w:val="ListBullet"/>
            </w:pPr>
            <w:r w:rsidRPr="00A43F63">
              <w:t>facilities and equipment used in the growing and harvesting of bivalve molluscs, including features required to meet regulatory requirements</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10" w:name="O_74148"/>
      <w:bookmarkEnd w:id="10"/>
      <w:r w:rsidRPr="00A43F63">
        <w:t>Evidence Guide</w:t>
      </w:r>
    </w:p>
    <w:tbl>
      <w:tblPr>
        <w:tblW w:w="9570" w:type="dxa"/>
        <w:tblLayout w:type="fixed"/>
        <w:tblCellMar>
          <w:left w:w="62" w:type="dxa"/>
          <w:right w:w="62" w:type="dxa"/>
        </w:tblCellMar>
        <w:tblLook w:val="0000"/>
      </w:tblPr>
      <w:tblGrid>
        <w:gridCol w:w="3908"/>
        <w:gridCol w:w="5662"/>
      </w:tblGrid>
      <w:tr w:rsidTr="002D359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EVIDENCE GUIDE</w:t>
            </w:r>
          </w:p>
        </w:tc>
      </w:tr>
      <w:tr w:rsidTr="002D359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The Evidence Guide provides advice on assessment and must be read in conjunction with the performance criteria, required skills and knowledge, range statement and the Assessment Guidelines for the Training Package.</w:t>
            </w:r>
          </w:p>
        </w:tc>
      </w:tr>
      <w:tr w:rsidTr="002D35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A person who dem</w:t>
            </w:r>
            <w:r w:rsidRPr="00A43F63">
              <w:t>onstrates competence in this unit must be able to provide evidence that they can verify that food safety programs covering growing and harvesting bivalve molluscs meet regulatory, industry and business standards.</w:t>
            </w:r>
          </w:p>
          <w:p w:rsidR="00000000" w:rsidP="00A43F63">
            <w:pPr>
              <w:pStyle w:val="BodyText"/>
              <w:rPr>
                <w:lang w:val="en-NZ"/>
              </w:rPr>
            </w:pPr>
            <w:r w:rsidRPr="00A43F63">
              <w:t xml:space="preserve">Assessment must be carried out in a manner </w:t>
            </w:r>
            <w:r w:rsidRPr="00A43F63">
              <w:t>that recognises the cultural and literacy requirements of the assessee and is appropriate to the work performed. Competency in this unit must be achieved in accordance with food safety standards and regulations.</w:t>
            </w:r>
          </w:p>
        </w:tc>
      </w:tr>
      <w:tr w:rsidTr="002D35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Critical aspects for assessment and evidenc</w:t>
            </w:r>
            <w:r w:rsidRPr="00A43F63">
              <w:rPr>
                <w:rStyle w:val="SpecialBold"/>
              </w:rPr>
              <w:t>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Evidence of ability to:</w:t>
            </w:r>
          </w:p>
          <w:p w:rsidR="00000000" w:rsidP="00A43F63">
            <w:pPr>
              <w:pStyle w:val="ListBullet"/>
              <w:rPr>
                <w:lang w:val="en-NZ"/>
              </w:rPr>
            </w:pPr>
            <w:r w:rsidRPr="00A43F63">
              <w:t xml:space="preserve">participate in audits of HACCP-based food safety programs to demonstrate ability and knowledge of technical aspects of growing and harvesting bivalve molluscs. Audit scenarios must </w:t>
            </w:r>
            <w:r w:rsidRPr="00A43F63">
              <w:t xml:space="preserve">include at least one audit involving relaying, depuration or wet storage.  </w:t>
            </w:r>
          </w:p>
        </w:tc>
      </w:tr>
      <w:tr w:rsidTr="002D35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Competency is to be assessed in an environment where bivalve molluscs are grown and harvested.</w:t>
            </w:r>
          </w:p>
          <w:p w:rsidR="00000000" w:rsidRPr="00A43F63" w:rsidP="00A43F63">
            <w:pPr>
              <w:pStyle w:val="BodyText"/>
            </w:pPr>
            <w:r w:rsidRPr="00A43F63">
              <w:t>Assessment is to occur under standard and authorised work practices, safety requirements and environmental constraints.</w:t>
            </w:r>
          </w:p>
          <w:p w:rsidR="00000000" w:rsidRPr="00A43F63" w:rsidP="00A43F63">
            <w:pPr>
              <w:pStyle w:val="BodyText"/>
            </w:pPr>
            <w:r w:rsidRPr="00A43F63">
              <w:t>The following resources must be available:</w:t>
            </w:r>
          </w:p>
          <w:p w:rsidR="00000000" w:rsidRPr="00A43F63" w:rsidP="00A43F63">
            <w:pPr>
              <w:pStyle w:val="ListBullet"/>
            </w:pPr>
            <w:r w:rsidRPr="00A43F63">
              <w:t>food safety programs covering bivalve mollusc growing and harvesting processes</w:t>
            </w:r>
          </w:p>
          <w:p w:rsidR="00000000" w:rsidRPr="00A43F63" w:rsidP="00A43F63">
            <w:pPr>
              <w:pStyle w:val="ListBullet"/>
            </w:pPr>
            <w:r w:rsidRPr="00A43F63">
              <w:t>food safety r</w:t>
            </w:r>
            <w:r w:rsidRPr="00A43F63">
              <w:t>elated documentation typical of commercial growing and harvesting businesses and used for the purpose of verification</w:t>
            </w:r>
          </w:p>
          <w:p w:rsidR="00000000" w:rsidP="00A43F63">
            <w:pPr>
              <w:pStyle w:val="ListBullet"/>
              <w:rPr>
                <w:lang w:val="en-NZ"/>
              </w:rPr>
            </w:pPr>
            <w:r w:rsidRPr="00A43F63">
              <w:t>plant and equipment that would typically be used in a commercial bivalve mollusc growing and harvesting business.</w:t>
            </w:r>
          </w:p>
        </w:tc>
      </w:tr>
      <w:tr w:rsidTr="002D35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Th</w:t>
            </w:r>
            <w:r w:rsidRPr="00A43F63">
              <w:t>is unit only covers the technical skills and knowledge related to the specific area of risk. Generic food safety auditing skills and knowledge are covered in prerequisite units. While participation in audit processes should follow good auditing practice as</w:t>
            </w:r>
            <w:r w:rsidRPr="00A43F63">
              <w:t xml:space="preserve"> specified by prerequisite units, formal assessment of generic food safety auditing competence does not need to be repeated when assessing this unit.</w:t>
            </w:r>
          </w:p>
          <w:p w:rsidR="00000000" w:rsidRPr="00A43F63" w:rsidP="00A43F63">
            <w:pPr>
              <w:pStyle w:val="BodyText"/>
            </w:pPr>
            <w:r w:rsidRPr="00A43F63">
              <w:t>The following assessment methods should be considered to gather sufficient and valid evidence of competenc</w:t>
            </w:r>
            <w:r w:rsidRPr="00A43F63">
              <w:t>e:</w:t>
            </w:r>
          </w:p>
          <w:p w:rsidR="00000000" w:rsidRPr="00A43F63" w:rsidP="00A43F63">
            <w:pPr>
              <w:pStyle w:val="ListBullet"/>
            </w:pPr>
            <w:r w:rsidRPr="00A43F63">
              <w:t xml:space="preserve">observation and a report covering the audits specified in this  </w:t>
            </w:r>
          </w:p>
          <w:p w:rsidR="00000000" w:rsidRPr="00A43F63" w:rsidP="00A43F63">
            <w:pPr>
              <w:pStyle w:val="ListBullet"/>
            </w:pPr>
            <w:r w:rsidRPr="00A43F63">
              <w:t xml:space="preserve">oral and written questioning to test the level and application of underpinning knowledge </w:t>
            </w:r>
          </w:p>
          <w:p w:rsidR="00000000" w:rsidRPr="00A43F63" w:rsidP="00A43F63">
            <w:pPr>
              <w:pStyle w:val="ListBullet"/>
            </w:pPr>
            <w:r w:rsidRPr="00A43F63">
              <w:t>workplace example or scenario to allow verification of records for food safety to be demonstrated</w:t>
            </w:r>
            <w:r w:rsidRPr="00A43F63">
              <w:t>.</w:t>
            </w:r>
          </w:p>
          <w:p w:rsidR="00000000" w:rsidRPr="00A43F63" w:rsidP="00A43F63">
            <w:pPr>
              <w:pStyle w:val="BodyText"/>
            </w:pPr>
            <w:r w:rsidRPr="00A43F63">
              <w:t>Audits conducted for the purpose of assessment must be witnessed by an auditor competent to audit bivalve growing and harvesting processes.</w:t>
            </w:r>
          </w:p>
          <w:p w:rsidR="00000000" w:rsidRPr="00A43F63" w:rsidP="00A43F63">
            <w:pPr>
              <w:pStyle w:val="BodyText"/>
            </w:pPr>
            <w:r w:rsidRPr="00A43F63">
              <w:t>The audits conducted for the purpose of assessment must be witnessed by an auditor competent to audit bivalve mollusc growing and harvesting processes.</w:t>
            </w:r>
          </w:p>
          <w:p w:rsidR="00000000" w:rsidP="00A43F63">
            <w:pPr>
              <w:pStyle w:val="BodyText"/>
              <w:rPr>
                <w:lang w:val="en-NZ"/>
              </w:rPr>
            </w:pPr>
            <w:r w:rsidRPr="00A43F63">
              <w:t>Assessment methods must satisfy the endorsed Assessment Guidelines of the FDF10 Food Processing Industry</w:t>
            </w:r>
            <w:r w:rsidRPr="00A43F63">
              <w:t xml:space="preserve"> Training Package.</w:t>
            </w:r>
          </w:p>
        </w:tc>
      </w:tr>
      <w:tr w:rsidTr="002D359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 xml:space="preserve">To ensure consistency in one's performance, competency should be demonstrated on more than one occasion over a period of time in order to cover a variety of circumstances, cases and responsibilities, </w:t>
            </w:r>
            <w:r w:rsidRPr="00A43F63">
              <w:t>and where possible, over a number of assessment activities.</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11" w:name="O_74149"/>
      <w:bookmarkEnd w:id="11"/>
      <w:r w:rsidRPr="00A43F63">
        <w:t>Range Statement</w:t>
      </w:r>
    </w:p>
    <w:tbl>
      <w:tblPr>
        <w:tblW w:w="0" w:type="auto"/>
        <w:tblLayout w:type="fixed"/>
        <w:tblCellMar>
          <w:left w:w="62" w:type="dxa"/>
          <w:right w:w="62" w:type="dxa"/>
        </w:tblCellMar>
        <w:tblLook w:val="0000"/>
      </w:tblPr>
      <w:tblGrid>
        <w:gridCol w:w="3525"/>
        <w:gridCol w:w="4997"/>
      </w:tblGrid>
      <w:tr w:rsidTr="002D359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RANGE STATEMENT</w:t>
            </w:r>
          </w:p>
        </w:tc>
      </w:tr>
      <w:tr w:rsidTr="002D359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 xml:space="preserve">The range statement relates to the unit of competency as a whole. It allows for different work environments and situations that may affect </w:t>
            </w:r>
            <w:r w:rsidRPr="00A43F63">
              <w:t>performance. Bold italicised wording, if used in the performance criteria, is detailed below. Essential operating conditions that may be present with training and assessment (depending on the work situation, needs of the candidate, accessibility of the ite</w:t>
            </w:r>
            <w:r w:rsidRPr="00A43F63">
              <w:t>m, and local industry and regional contexts) may also be included.</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Microbiological food safety hazards</w:t>
            </w:r>
            <w:r w:rsidRPr="00A43F63">
              <w:t xml:space="preserve"> </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Microbiological food safety hazards may include:</w:t>
            </w:r>
          </w:p>
          <w:p w:rsidR="00000000" w:rsidRPr="00A43F63" w:rsidP="00A43F63">
            <w:pPr>
              <w:pStyle w:val="ListBullet"/>
            </w:pPr>
            <w:r w:rsidRPr="00A43F63">
              <w:t>Hepatitis A virus</w:t>
            </w:r>
          </w:p>
          <w:p w:rsidR="00000000" w:rsidRPr="00A43F63" w:rsidP="00A43F63">
            <w:pPr>
              <w:pStyle w:val="ListBullet"/>
            </w:pPr>
            <w:r w:rsidRPr="00A43F63">
              <w:t>Norwalk virus</w:t>
            </w:r>
          </w:p>
          <w:p w:rsidR="00000000" w:rsidRPr="00A43F63" w:rsidP="00A43F63">
            <w:pPr>
              <w:pStyle w:val="ListBullet"/>
            </w:pPr>
            <w:r w:rsidRPr="00A43F63">
              <w:rPr>
                <w:rStyle w:val="Emphasis"/>
              </w:rPr>
              <w:t>Vibrio parahaemolyticus</w:t>
            </w:r>
          </w:p>
          <w:p w:rsidR="00000000" w:rsidRPr="00A43F63" w:rsidP="00A43F63">
            <w:pPr>
              <w:pStyle w:val="ListBullet"/>
            </w:pPr>
            <w:r w:rsidRPr="00A43F63">
              <w:rPr>
                <w:rStyle w:val="Emphasis"/>
              </w:rPr>
              <w:t>V</w:t>
            </w:r>
            <w:r w:rsidRPr="00A43F63">
              <w:t xml:space="preserve">. </w:t>
            </w:r>
            <w:r w:rsidRPr="00A43F63">
              <w:rPr>
                <w:rStyle w:val="Emphasis"/>
              </w:rPr>
              <w:t>vulnificus</w:t>
            </w:r>
          </w:p>
          <w:p w:rsidR="00000000" w:rsidRPr="00A43F63" w:rsidP="00A43F63">
            <w:pPr>
              <w:pStyle w:val="ListBullet"/>
            </w:pPr>
            <w:r w:rsidRPr="00A43F63">
              <w:rPr>
                <w:rStyle w:val="Emphasis"/>
              </w:rPr>
              <w:t>Salmonella spp</w:t>
            </w:r>
          </w:p>
          <w:p w:rsidR="00000000" w:rsidP="00A43F63">
            <w:pPr>
              <w:pStyle w:val="ListBullet"/>
              <w:rPr>
                <w:lang w:val="en-NZ"/>
              </w:rPr>
            </w:pPr>
            <w:r w:rsidRPr="00A43F63">
              <w:t>pathogenic Escherichia coli</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Bivalve molluscs</w:t>
            </w:r>
            <w:r w:rsidRPr="00A43F63">
              <w:t xml:space="preserve"> </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Bivalve molluscs may include:</w:t>
            </w:r>
          </w:p>
          <w:p w:rsidR="00000000" w:rsidRPr="00A43F63" w:rsidP="00A43F63">
            <w:pPr>
              <w:pStyle w:val="ListBullet"/>
            </w:pPr>
            <w:r w:rsidRPr="00A43F63">
              <w:t>oysters (Pacific, Sydney rock, Angassi (native) and pearl)</w:t>
            </w:r>
          </w:p>
          <w:p w:rsidR="00000000" w:rsidRPr="00A43F63" w:rsidP="00A43F63">
            <w:pPr>
              <w:pStyle w:val="ListBullet"/>
            </w:pPr>
            <w:r w:rsidRPr="00A43F63">
              <w:t>mussels</w:t>
            </w:r>
          </w:p>
          <w:p w:rsidR="00000000" w:rsidRPr="00A43F63" w:rsidP="00A43F63">
            <w:pPr>
              <w:pStyle w:val="ListBullet"/>
            </w:pPr>
            <w:r w:rsidRPr="00A43F63">
              <w:t>pipis</w:t>
            </w:r>
          </w:p>
          <w:p w:rsidR="00000000" w:rsidRPr="00A43F63" w:rsidP="00A43F63">
            <w:pPr>
              <w:pStyle w:val="ListBullet"/>
            </w:pPr>
            <w:r w:rsidRPr="00A43F63">
              <w:t>clams (strawberry and razor)</w:t>
            </w:r>
          </w:p>
          <w:p w:rsidR="00000000" w:rsidRPr="00A43F63" w:rsidP="00A43F63">
            <w:pPr>
              <w:pStyle w:val="ListBullet"/>
            </w:pPr>
            <w:r w:rsidRPr="00A43F63">
              <w:t>cockles (sand, dog, blood and mud)</w:t>
            </w:r>
          </w:p>
          <w:p w:rsidR="00000000" w:rsidP="00A43F63">
            <w:pPr>
              <w:pStyle w:val="ListBullet"/>
              <w:rPr>
                <w:lang w:val="en-NZ"/>
              </w:rPr>
            </w:pPr>
            <w:r w:rsidRPr="00A43F63">
              <w:t>scallops and other adductor bivalves, inc</w:t>
            </w:r>
            <w:r w:rsidRPr="00A43F63">
              <w:t>luding pearl oyster meat (unless adductor muscle only)</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Chemical food safety hazards</w:t>
            </w:r>
            <w:r w:rsidRPr="00A43F63">
              <w:t xml:space="preserve"> </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Chemical food safety hazards may include common origins of chemical contamination, including:</w:t>
            </w:r>
          </w:p>
          <w:p w:rsidR="00000000" w:rsidRPr="00A43F63" w:rsidP="00A43F63">
            <w:pPr>
              <w:pStyle w:val="ListBullet"/>
            </w:pPr>
            <w:r w:rsidRPr="00A43F63">
              <w:t>phycotoxins: harmful algal blooms, such as amnesic shellfish poisoning (ASP), neurotoxic shellfish poisoning (NSP), diarrhetic shellfish poisoning (DSP) and paralytic shellfish poisoning (PSP)</w:t>
            </w:r>
          </w:p>
          <w:p w:rsidR="00000000" w:rsidRPr="00A43F63" w:rsidP="00A43F63">
            <w:pPr>
              <w:pStyle w:val="ListBullet"/>
            </w:pPr>
            <w:r w:rsidRPr="00A43F63">
              <w:t>pesticides</w:t>
            </w:r>
          </w:p>
          <w:p w:rsidR="00000000" w:rsidRPr="00A43F63" w:rsidP="00A43F63">
            <w:pPr>
              <w:pStyle w:val="ListBullet"/>
            </w:pPr>
            <w:r w:rsidRPr="00A43F63">
              <w:t>water additives</w:t>
            </w:r>
          </w:p>
          <w:p w:rsidR="00000000" w:rsidRPr="00A43F63" w:rsidP="00A43F63">
            <w:pPr>
              <w:pStyle w:val="ListBullet"/>
            </w:pPr>
            <w:r w:rsidRPr="00A43F63">
              <w:t>toxic metals</w:t>
            </w:r>
          </w:p>
          <w:p w:rsidR="00000000" w:rsidP="00A43F63">
            <w:pPr>
              <w:pStyle w:val="ListBullet"/>
              <w:rPr>
                <w:lang w:val="en-NZ"/>
              </w:rPr>
            </w:pPr>
            <w:r w:rsidRPr="00A43F63">
              <w:t>polychlorinated bipheny</w:t>
            </w:r>
            <w:r w:rsidRPr="00A43F63">
              <w:t>ls (PCBs)</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Validation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Validation refers to obtaining evidence to confirm that a HACCP-based food safety program is complete and effective and will deliver the expected food safety outcomes</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Validation evidence</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Validation evidence confirms that control meas</w:t>
            </w:r>
            <w:r w:rsidRPr="00A43F63">
              <w:t>ures are capable of being consistently effective and may include the application of:</w:t>
            </w:r>
          </w:p>
          <w:p w:rsidR="00000000" w:rsidRPr="00A43F63" w:rsidP="00A43F63">
            <w:pPr>
              <w:pStyle w:val="ListBullet"/>
            </w:pPr>
            <w:r w:rsidRPr="00A43F63">
              <w:t>existing Australian legislative requirements</w:t>
            </w:r>
          </w:p>
          <w:p w:rsidR="00000000" w:rsidRPr="00A43F63" w:rsidP="00A43F63">
            <w:pPr>
              <w:pStyle w:val="ListBullet"/>
            </w:pPr>
            <w:r w:rsidRPr="00A43F63">
              <w:t>challenge tests</w:t>
            </w:r>
          </w:p>
          <w:p w:rsidR="00000000" w:rsidRPr="00A43F63" w:rsidP="00A43F63">
            <w:pPr>
              <w:pStyle w:val="ListBullet"/>
            </w:pPr>
            <w:r w:rsidRPr="00A43F63">
              <w:t>peer reviewed scientific papers</w:t>
            </w:r>
          </w:p>
          <w:p w:rsidR="00000000" w:rsidRPr="00A43F63" w:rsidP="00A43F63">
            <w:pPr>
              <w:pStyle w:val="ListBullet"/>
            </w:pPr>
            <w:r w:rsidRPr="00A43F63">
              <w:t>targeted scientific reports</w:t>
            </w:r>
          </w:p>
          <w:p w:rsidR="00000000" w:rsidRPr="00A43F63" w:rsidP="00A43F63">
            <w:pPr>
              <w:pStyle w:val="ListBullet"/>
            </w:pPr>
            <w:r w:rsidRPr="00A43F63">
              <w:t>validation already carried out in other jurisdictions and recognised by the responsible authority</w:t>
            </w:r>
          </w:p>
          <w:p w:rsidR="00000000" w:rsidRPr="00A43F63" w:rsidP="00A43F63">
            <w:pPr>
              <w:pStyle w:val="ListBullet"/>
            </w:pPr>
            <w:r w:rsidRPr="00A43F63">
              <w:t>mathematical modelling (e.g. predictive microbiology models)</w:t>
            </w:r>
          </w:p>
          <w:p w:rsidR="00000000" w:rsidP="00A43F63">
            <w:pPr>
              <w:pStyle w:val="ListBullet"/>
              <w:rPr>
                <w:lang w:val="en-NZ"/>
              </w:rPr>
            </w:pPr>
            <w:r w:rsidRPr="00A43F63">
              <w:t>industry codes of practice (where implementation by food business is verified during audits)</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Ver</w:t>
            </w:r>
            <w:r w:rsidRPr="00A43F63">
              <w:rPr>
                <w:rStyle w:val="SpecialBold"/>
              </w:rPr>
              <w:t>ification</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Verification refers to methods and procedures used to carry out monitoring, including sampling and testing to provide evidence that the specifications set by relevant legislation and codes of practice continue to be met</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Shellfish quality program</w:t>
            </w:r>
            <w:r w:rsidRPr="00A43F63">
              <w:rPr>
                <w:rStyle w:val="SpecialBold"/>
              </w:rPr>
              <w:t>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Australian shellfish quality assurance programs administered by state and territory shellfish control authorities</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Business standards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t>Business standards refer to standards or technical specifications set by the system owner based on and in addition to re</w:t>
            </w:r>
            <w:r w:rsidRPr="00A43F63">
              <w:t>gulatory requirements that relate specifically to food safety</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Relevant legislation</w:t>
            </w:r>
            <w:r w:rsidRPr="00A43F63">
              <w:t xml:space="preserve">, </w:t>
            </w:r>
            <w:r w:rsidRPr="00A43F63">
              <w:rPr>
                <w:rStyle w:val="SpecialBold"/>
              </w:rPr>
              <w:t>codes of practice and technical standards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Relevant legislation, codes of practice and technical standards relating to bivalve molluscs may include:</w:t>
            </w:r>
          </w:p>
          <w:p w:rsidR="00000000" w:rsidRPr="00A43F63" w:rsidP="00A43F63">
            <w:pPr>
              <w:pStyle w:val="ListBullet"/>
            </w:pPr>
            <w:r w:rsidRPr="00A43F63">
              <w:t xml:space="preserve">Food Standards Code 4.2.1: Primary Production and Processing Standards for Seafood (Australia only), FSANZ </w:t>
            </w:r>
          </w:p>
          <w:p w:rsidR="00000000" w:rsidRPr="00A43F63" w:rsidP="00A43F63">
            <w:pPr>
              <w:pStyle w:val="ListBullet"/>
            </w:pPr>
            <w:r w:rsidRPr="00A43F63">
              <w:t>Australian Shellfish Quality Assurance Program: Operations Manual, May 2005</w:t>
            </w:r>
          </w:p>
          <w:p w:rsidR="00000000" w:rsidRPr="00A43F63" w:rsidP="00A43F63">
            <w:pPr>
              <w:pStyle w:val="ListBullet"/>
            </w:pPr>
            <w:r w:rsidRPr="00A43F63">
              <w:t>AQIS Australian Shellfish Quality Assurance Program, Export Standards, 2</w:t>
            </w:r>
            <w:r w:rsidRPr="00A43F63">
              <w:t>004</w:t>
            </w:r>
          </w:p>
          <w:p w:rsidR="00000000" w:rsidP="00A43F63">
            <w:pPr>
              <w:pStyle w:val="ListBullet"/>
              <w:rPr>
                <w:lang w:val="en-NZ"/>
              </w:rPr>
            </w:pPr>
            <w:r w:rsidRPr="00A43F63">
              <w:t>state and territory regulations, codes of practice and guidelines</w:t>
            </w:r>
          </w:p>
        </w:tc>
      </w:tr>
      <w:tr w:rsidTr="002D359C">
        <w:tblPrEx>
          <w:tblW w:w="0" w:type="auto"/>
          <w:tblLayout w:type="fixed"/>
          <w:tblCellMar>
            <w:left w:w="62" w:type="dxa"/>
            <w:right w:w="62" w:type="dxa"/>
          </w:tblCellMar>
          <w:tblLook w:val="0000"/>
        </w:tblPrEx>
        <w:tc>
          <w:tcPr>
            <w:tcW w:w="3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Role of government in overseeing implementation of shellfish quality programs</w:t>
            </w:r>
          </w:p>
        </w:tc>
        <w:tc>
          <w:tcPr>
            <w:tcW w:w="4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Role of government in overseeing implementation of shellfish quality programs:</w:t>
            </w:r>
          </w:p>
          <w:p w:rsidR="00000000" w:rsidRPr="00A43F63" w:rsidP="00A43F63">
            <w:pPr>
              <w:pStyle w:val="ListBullet"/>
            </w:pPr>
            <w:r w:rsidRPr="00A43F63">
              <w:t>responsibility and capacity</w:t>
            </w:r>
            <w:r w:rsidRPr="00A43F63">
              <w:t xml:space="preserve"> to control food safety hazards is shared by the state and territory governments through the relevant state and territory authority responsible for managing harvesting areas and by the farmer who is responsible for managing the harvest and post-harvest han</w:t>
            </w:r>
            <w:r w:rsidRPr="00A43F63">
              <w:t>dling and storage</w:t>
            </w:r>
          </w:p>
        </w:tc>
      </w:tr>
    </w:tbl>
    <w:p w:rsidR="002D359C" w:rsidP="00A43F63">
      <w:pPr>
        <w:pStyle w:val="BodyText"/>
      </w:pPr>
    </w:p>
    <w:p w:rsidR="002D359C" w:rsidP="00A43F63">
      <w:pPr>
        <w:pStyle w:val="BodyText"/>
      </w:pPr>
    </w:p>
    <w:p w:rsidR="00000000" w:rsidRPr="00A43F63" w:rsidP="00A43F63">
      <w:pPr>
        <w:pStyle w:val="Heading1"/>
      </w:pPr>
      <w:bookmarkStart w:id="12" w:name="O_74150"/>
      <w:bookmarkEnd w:id="12"/>
      <w:r w:rsidRPr="00A43F63">
        <w:t>Unit Sector(s)</w:t>
      </w:r>
    </w:p>
    <w:tbl>
      <w:tblPr>
        <w:tblW w:w="0" w:type="auto"/>
        <w:tblLayout w:type="fixed"/>
        <w:tblCellMar>
          <w:left w:w="62" w:type="dxa"/>
          <w:right w:w="62" w:type="dxa"/>
        </w:tblCellMar>
        <w:tblLook w:val="0000"/>
      </w:tblPr>
      <w:tblGrid>
        <w:gridCol w:w="2626"/>
        <w:gridCol w:w="5896"/>
      </w:tblGrid>
      <w:tr w:rsidTr="002D359C">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r w:rsidRPr="00A43F63">
              <w:t>Food safety auditing</w:t>
            </w: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13" w:name="O_155599"/>
      <w:bookmarkEnd w:id="13"/>
      <w:r w:rsidRPr="00A43F63">
        <w:t>Competency field</w:t>
      </w:r>
    </w:p>
    <w:tbl>
      <w:tblPr>
        <w:tblW w:w="0" w:type="auto"/>
        <w:tblLayout w:type="fixed"/>
        <w:tblCellMar>
          <w:left w:w="62" w:type="dxa"/>
          <w:right w:w="62" w:type="dxa"/>
        </w:tblCellMar>
        <w:tblLook w:val="0000"/>
      </w:tblPr>
      <w:tblGrid>
        <w:gridCol w:w="2784"/>
        <w:gridCol w:w="5738"/>
      </w:tblGrid>
      <w:tr w:rsidTr="002D359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p>
        </w:tc>
      </w:tr>
    </w:tbl>
    <w:p w:rsidR="00000000" w:rsidRPr="00A43F63" w:rsidP="00A43F63">
      <w:pPr>
        <w:pStyle w:val="BodyText"/>
      </w:pPr>
    </w:p>
    <w:p w:rsidR="00000000" w:rsidRPr="00A43F63" w:rsidP="00A43F63">
      <w:pPr>
        <w:pStyle w:val="AllowPageBreak"/>
      </w:pPr>
    </w:p>
    <w:p w:rsidR="00000000" w:rsidRPr="00A43F63" w:rsidP="00A43F63">
      <w:pPr>
        <w:pStyle w:val="Heading1"/>
      </w:pPr>
      <w:bookmarkStart w:id="14" w:name="O_155598"/>
      <w:bookmarkEnd w:id="14"/>
      <w:r w:rsidRPr="00A43F63">
        <w:t>Co-requisite units</w:t>
      </w:r>
    </w:p>
    <w:tbl>
      <w:tblPr>
        <w:tblW w:w="0" w:type="auto"/>
        <w:tblLayout w:type="fixed"/>
        <w:tblCellMar>
          <w:left w:w="62" w:type="dxa"/>
          <w:right w:w="62" w:type="dxa"/>
        </w:tblCellMar>
        <w:tblLook w:val="0000"/>
      </w:tblPr>
      <w:tblGrid>
        <w:gridCol w:w="2641"/>
        <w:gridCol w:w="1322"/>
        <w:gridCol w:w="4559"/>
      </w:tblGrid>
      <w:tr w:rsidTr="002D359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r w:rsidRPr="00A43F6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p>
        </w:tc>
      </w:tr>
      <w:tr w:rsidTr="002D35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3F63">
            <w:pPr>
              <w:pStyle w:val="BodyText"/>
              <w:rPr>
                <w:lang w:val="en-NZ"/>
              </w:rPr>
            </w:pPr>
          </w:p>
        </w:tc>
      </w:tr>
      <w:tr w:rsidTr="002D359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3F63" w:rsidP="00A43F63">
            <w:pPr>
              <w:pStyle w:val="BodyText"/>
            </w:pPr>
          </w:p>
        </w:tc>
      </w:tr>
    </w:tbl>
    <w:p w:rsidR="00000000" w:rsidRPr="00A43F63" w:rsidP="00A43F63">
      <w:pPr>
        <w:pStyle w:val="BodyText"/>
      </w:pPr>
    </w:p>
    <w:p w:rsidR="00000000" w:rsidRPr="00A43F63" w:rsidP="00A43F63"/>
    <w:sectPr w:rsidSect="00A43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59C" w:rsidP="002D35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9C" w:rsidP="00A43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D359C" w:rsidP="00A43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D359C" w:rsidP="00A43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359C" w:rsidP="002D359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59C" w:rsidP="00A43F63">
    <w:pPr>
      <w:pStyle w:val="Header"/>
      <w:framePr w:wrap="around"/>
    </w:pPr>
    <w:r>
      <w:fldChar w:fldCharType="begin"/>
    </w:r>
    <w:r>
      <w:instrText xml:space="preserve"> TITLE   \* MERGEFORMAT </w:instrText>
    </w:r>
    <w:r>
      <w:fldChar w:fldCharType="separate"/>
    </w:r>
    <w:r>
      <w:t>FDFAU4005A Audit bivalve mollusc growing and harvesting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D359C" w:rsidP="00A43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044B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A4DB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43F63"/>
    <w:pPr>
      <w:spacing w:before="360" w:after="60"/>
      <w:outlineLvl w:val="0"/>
    </w:pPr>
    <w:rPr>
      <w:sz w:val="32"/>
    </w:rPr>
  </w:style>
  <w:style w:type="paragraph" w:styleId="Heading2">
    <w:name w:val="heading 2"/>
    <w:basedOn w:val="HeadingBase"/>
    <w:next w:val="BodyText"/>
    <w:link w:val="Heading2Char"/>
    <w:qFormat/>
    <w:rsid w:val="00A43F63"/>
    <w:pPr>
      <w:keepLines/>
      <w:spacing w:before="240" w:after="120"/>
      <w:outlineLvl w:val="1"/>
    </w:pPr>
    <w:rPr>
      <w:sz w:val="28"/>
      <w:szCs w:val="40"/>
    </w:rPr>
  </w:style>
  <w:style w:type="paragraph" w:styleId="Heading3">
    <w:name w:val="heading 3"/>
    <w:basedOn w:val="HeadingBase"/>
    <w:next w:val="BodyText"/>
    <w:link w:val="Heading3Char"/>
    <w:qFormat/>
    <w:rsid w:val="00A43F63"/>
    <w:pPr>
      <w:spacing w:before="180" w:after="120"/>
      <w:outlineLvl w:val="2"/>
    </w:pPr>
    <w:rPr>
      <w:spacing w:val="-10"/>
      <w:kern w:val="32"/>
    </w:rPr>
  </w:style>
  <w:style w:type="paragraph" w:styleId="Heading4">
    <w:name w:val="heading 4"/>
    <w:basedOn w:val="HeadingBase"/>
    <w:next w:val="BodyText"/>
    <w:link w:val="Heading4Char"/>
    <w:qFormat/>
    <w:rsid w:val="00A43F63"/>
    <w:pPr>
      <w:spacing w:before="160" w:after="120"/>
      <w:outlineLvl w:val="3"/>
    </w:pPr>
    <w:rPr>
      <w:sz w:val="22"/>
    </w:rPr>
  </w:style>
  <w:style w:type="paragraph" w:styleId="Heading5">
    <w:name w:val="heading 5"/>
    <w:basedOn w:val="HeadingBase"/>
    <w:next w:val="Normal"/>
    <w:link w:val="Heading5Char"/>
    <w:qFormat/>
    <w:rsid w:val="00A43F63"/>
    <w:pPr>
      <w:spacing w:before="80"/>
      <w:outlineLvl w:val="4"/>
    </w:pPr>
    <w:rPr>
      <w:color w:val="918585"/>
      <w:sz w:val="20"/>
    </w:rPr>
  </w:style>
  <w:style w:type="paragraph" w:styleId="Heading6">
    <w:name w:val="heading 6"/>
    <w:basedOn w:val="HeadingBase"/>
    <w:next w:val="Normal"/>
    <w:link w:val="Heading6Char"/>
    <w:qFormat/>
    <w:rsid w:val="00A43F63"/>
    <w:pPr>
      <w:spacing w:before="60"/>
      <w:outlineLvl w:val="5"/>
    </w:pPr>
    <w:rPr>
      <w:color w:val="918585"/>
      <w:sz w:val="20"/>
    </w:rPr>
  </w:style>
  <w:style w:type="paragraph" w:styleId="Heading7">
    <w:name w:val="heading 7"/>
    <w:basedOn w:val="Normal"/>
    <w:next w:val="Normal"/>
    <w:link w:val="Heading7Char"/>
    <w:qFormat/>
    <w:rsid w:val="00A43F63"/>
    <w:pPr>
      <w:ind w:left="720"/>
      <w:outlineLvl w:val="6"/>
    </w:pPr>
    <w:rPr>
      <w:i/>
    </w:rPr>
  </w:style>
  <w:style w:type="paragraph" w:styleId="Heading8">
    <w:name w:val="heading 8"/>
    <w:basedOn w:val="Normal"/>
    <w:next w:val="Normal"/>
    <w:link w:val="Heading8Char"/>
    <w:qFormat/>
    <w:rsid w:val="00A43F63"/>
    <w:pPr>
      <w:ind w:left="720"/>
      <w:outlineLvl w:val="7"/>
    </w:pPr>
    <w:rPr>
      <w:i/>
    </w:rPr>
  </w:style>
  <w:style w:type="paragraph" w:styleId="Heading9">
    <w:name w:val="heading 9"/>
    <w:basedOn w:val="Normal"/>
    <w:next w:val="Normal"/>
    <w:link w:val="Heading9Char"/>
    <w:qFormat/>
    <w:rsid w:val="00A43F63"/>
    <w:pPr>
      <w:ind w:left="720"/>
      <w:outlineLvl w:val="8"/>
    </w:pPr>
    <w:rPr>
      <w:i/>
    </w:rPr>
  </w:style>
  <w:style w:type="character" w:default="1" w:styleId="DefaultParagraphFont">
    <w:name w:val="Default Paragraph Font"/>
    <w:uiPriority w:val="1"/>
    <w:unhideWhenUsed/>
    <w:rsid w:val="00A43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3F63"/>
  </w:style>
  <w:style w:type="character" w:customStyle="1" w:styleId="Heading1Char">
    <w:name w:val="Heading 1 Char"/>
    <w:basedOn w:val="DefaultParagraphFont"/>
    <w:link w:val="Heading1"/>
    <w:rsid w:val="00A43F63"/>
    <w:rPr>
      <w:rFonts w:ascii="Times New Roman" w:eastAsia="Times New Roman" w:hAnsi="Times New Roman" w:cs="Times New Roman"/>
      <w:b/>
      <w:sz w:val="32"/>
      <w:szCs w:val="20"/>
      <w:lang w:eastAsia="en-US"/>
    </w:rPr>
  </w:style>
  <w:style w:type="paragraph" w:styleId="BodyText">
    <w:name w:val="Body Text"/>
    <w:basedOn w:val="Normal"/>
    <w:link w:val="BodyTextChar"/>
    <w:rsid w:val="00A43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43F63"/>
    <w:rPr>
      <w:rFonts w:ascii="Times New Roman" w:eastAsia="Times New Roman" w:hAnsi="Times New Roman" w:cs="Times New Roman"/>
      <w:sz w:val="24"/>
      <w:lang w:val="en-US" w:eastAsia="en-US"/>
    </w:rPr>
  </w:style>
  <w:style w:type="paragraph" w:styleId="Footer">
    <w:name w:val="footer"/>
    <w:basedOn w:val="Normal"/>
    <w:link w:val="FooterChar"/>
    <w:rsid w:val="00A43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3F63"/>
    <w:rPr>
      <w:rFonts w:ascii="Times New Roman" w:eastAsia="Times New Roman" w:hAnsi="Times New Roman" w:cs="Times New Roman"/>
      <w:sz w:val="16"/>
      <w:lang w:val="en-US" w:eastAsia="en-US"/>
    </w:rPr>
  </w:style>
  <w:style w:type="paragraph" w:styleId="List">
    <w:name w:val="List"/>
    <w:basedOn w:val="BodyText"/>
    <w:next w:val="BodyText"/>
    <w:rsid w:val="00A43F63"/>
    <w:pPr>
      <w:tabs>
        <w:tab w:val="left" w:pos="340"/>
      </w:tabs>
      <w:spacing w:before="60" w:after="60"/>
      <w:ind w:left="340" w:hanging="340"/>
    </w:pPr>
  </w:style>
  <w:style w:type="paragraph" w:styleId="ListBullet">
    <w:name w:val="List Bullet"/>
    <w:basedOn w:val="List"/>
    <w:rsid w:val="00A43F63"/>
    <w:pPr>
      <w:numPr>
        <w:numId w:val="12"/>
      </w:numPr>
      <w:tabs>
        <w:tab w:val="clear" w:pos="340"/>
      </w:tabs>
      <w:spacing w:before="40" w:after="40"/>
    </w:pPr>
  </w:style>
  <w:style w:type="character" w:customStyle="1" w:styleId="SpecialBold">
    <w:name w:val="Special Bold"/>
    <w:basedOn w:val="DefaultParagraphFont"/>
    <w:rsid w:val="00A43F63"/>
    <w:rPr>
      <w:b/>
      <w:spacing w:val="0"/>
    </w:rPr>
  </w:style>
  <w:style w:type="paragraph" w:styleId="Header">
    <w:name w:val="header"/>
    <w:basedOn w:val="Normal"/>
    <w:link w:val="HeaderChar"/>
    <w:rsid w:val="00A43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3F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43F63"/>
    <w:rPr>
      <w:i/>
    </w:rPr>
  </w:style>
  <w:style w:type="paragraph" w:customStyle="1" w:styleId="SuperHeading">
    <w:name w:val="SuperHeading"/>
    <w:basedOn w:val="Normal"/>
    <w:rsid w:val="00A43F63"/>
    <w:pPr>
      <w:spacing w:before="240" w:after="120"/>
      <w:outlineLvl w:val="0"/>
    </w:pPr>
    <w:rPr>
      <w:rFonts w:ascii="Times New Roman" w:hAnsi="Times New Roman"/>
      <w:b/>
      <w:sz w:val="28"/>
    </w:rPr>
  </w:style>
  <w:style w:type="paragraph" w:customStyle="1" w:styleId="AllowPageBreak">
    <w:name w:val="AllowPageBreak"/>
    <w:rsid w:val="00A43F6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43F63"/>
    <w:pPr>
      <w:tabs>
        <w:tab w:val="left" w:pos="680"/>
      </w:tabs>
      <w:spacing w:before="60" w:after="60"/>
      <w:ind w:left="680" w:hanging="340"/>
    </w:pPr>
  </w:style>
  <w:style w:type="character" w:customStyle="1" w:styleId="BoldandItalics">
    <w:name w:val="Bold and Italics"/>
    <w:qFormat/>
    <w:rsid w:val="00A43F63"/>
    <w:rPr>
      <w:b/>
      <w:i/>
      <w:u w:val="none"/>
    </w:rPr>
  </w:style>
  <w:style w:type="character" w:customStyle="1" w:styleId="Heading2Char">
    <w:name w:val="Heading 2 Char"/>
    <w:basedOn w:val="DefaultParagraphFont"/>
    <w:link w:val="Heading2"/>
    <w:rsid w:val="00A43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3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3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3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3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3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43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43F63"/>
    <w:rPr>
      <w:rFonts w:ascii="Courier New" w:eastAsia="Times New Roman" w:hAnsi="Courier New" w:cs="Times New Roman"/>
      <w:i/>
      <w:szCs w:val="20"/>
      <w:lang w:val="en-US" w:eastAsia="en-US"/>
    </w:rPr>
  </w:style>
  <w:style w:type="paragraph" w:customStyle="1" w:styleId="HeadingBase">
    <w:name w:val="Heading Base"/>
    <w:rsid w:val="00A43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3F63"/>
    <w:pPr>
      <w:tabs>
        <w:tab w:val="right" w:leader="dot" w:pos="9072"/>
      </w:tabs>
      <w:ind w:left="567"/>
    </w:pPr>
    <w:rPr>
      <w:szCs w:val="22"/>
    </w:rPr>
  </w:style>
  <w:style w:type="paragraph" w:customStyle="1" w:styleId="TOCBase">
    <w:name w:val="TOC Base"/>
    <w:rsid w:val="00A43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3F63"/>
    <w:pPr>
      <w:tabs>
        <w:tab w:val="right" w:leader="dot" w:pos="9072"/>
      </w:tabs>
      <w:spacing w:before="40" w:after="40"/>
      <w:ind w:left="284"/>
    </w:pPr>
    <w:rPr>
      <w:rFonts w:ascii="Times New Roman" w:hAnsi="Times New Roman"/>
    </w:rPr>
  </w:style>
  <w:style w:type="paragraph" w:styleId="TOC1">
    <w:name w:val="toc 1"/>
    <w:basedOn w:val="TOCBase"/>
    <w:next w:val="Normal"/>
    <w:rsid w:val="00A43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43F63"/>
    <w:pPr>
      <w:spacing w:before="5040"/>
      <w:jc w:val="center"/>
    </w:pPr>
    <w:rPr>
      <w:sz w:val="48"/>
      <w:szCs w:val="72"/>
      <w:lang w:val="en-US"/>
    </w:rPr>
  </w:style>
  <w:style w:type="character" w:customStyle="1" w:styleId="TitleChar">
    <w:name w:val="Title Char"/>
    <w:basedOn w:val="DefaultParagraphFont"/>
    <w:link w:val="Title"/>
    <w:rsid w:val="00A43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3F63"/>
    <w:pPr>
      <w:tabs>
        <w:tab w:val="left" w:pos="3600"/>
        <w:tab w:val="left" w:pos="3958"/>
      </w:tabs>
    </w:pPr>
  </w:style>
  <w:style w:type="paragraph" w:customStyle="1" w:styleId="Note">
    <w:name w:val="Note"/>
    <w:basedOn w:val="BodyText"/>
    <w:rsid w:val="00A43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3F63"/>
    <w:pPr>
      <w:framePr w:wrap="auto" w:hAnchor="text" w:y="6049"/>
    </w:pPr>
    <w:rPr>
      <w:color w:val="000000"/>
      <w:sz w:val="40"/>
    </w:rPr>
  </w:style>
  <w:style w:type="paragraph" w:customStyle="1" w:styleId="TOCTitle">
    <w:name w:val="TOCTitle"/>
    <w:basedOn w:val="Heading1"/>
    <w:rsid w:val="00A43F63"/>
    <w:pPr>
      <w:spacing w:after="240"/>
      <w:jc w:val="center"/>
      <w:outlineLvl w:val="9"/>
    </w:pPr>
    <w:rPr>
      <w:caps/>
    </w:rPr>
  </w:style>
  <w:style w:type="paragraph" w:customStyle="1" w:styleId="Version">
    <w:name w:val="Version"/>
    <w:rsid w:val="00A43F6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43F63"/>
    <w:pPr>
      <w:numPr>
        <w:numId w:val="13"/>
      </w:numPr>
      <w:tabs>
        <w:tab w:val="clear" w:pos="680"/>
      </w:tabs>
    </w:pPr>
  </w:style>
  <w:style w:type="paragraph" w:styleId="Index1">
    <w:name w:val="index 1"/>
    <w:basedOn w:val="Normal"/>
    <w:next w:val="Normal"/>
    <w:semiHidden/>
    <w:rsid w:val="00A43F63"/>
    <w:pPr>
      <w:keepNext w:val="0"/>
      <w:tabs>
        <w:tab w:val="right" w:pos="4176"/>
      </w:tabs>
      <w:ind w:left="198" w:hanging="198"/>
    </w:pPr>
    <w:rPr>
      <w:rFonts w:ascii="Garamond" w:hAnsi="Garamond"/>
    </w:rPr>
  </w:style>
  <w:style w:type="paragraph" w:styleId="IndexHeading">
    <w:name w:val="index heading"/>
    <w:basedOn w:val="Normal"/>
    <w:next w:val="Index1"/>
    <w:semiHidden/>
    <w:rsid w:val="00A43F63"/>
    <w:pPr>
      <w:spacing w:before="120" w:after="120"/>
    </w:pPr>
    <w:rPr>
      <w:rFonts w:ascii="Arial" w:hAnsi="Arial"/>
      <w:b/>
      <w:color w:val="918585"/>
      <w:sz w:val="24"/>
    </w:rPr>
  </w:style>
  <w:style w:type="paragraph" w:customStyle="1" w:styleId="Chapter">
    <w:name w:val="Chapter"/>
    <w:basedOn w:val="Normal"/>
    <w:rsid w:val="00A43F63"/>
    <w:pPr>
      <w:spacing w:before="240"/>
    </w:pPr>
    <w:rPr>
      <w:rFonts w:ascii="Times New Roman" w:hAnsi="Times New Roman"/>
      <w:smallCaps/>
      <w:spacing w:val="80"/>
      <w:sz w:val="28"/>
    </w:rPr>
  </w:style>
  <w:style w:type="paragraph" w:customStyle="1" w:styleId="InChapter">
    <w:name w:val="InChapter"/>
    <w:basedOn w:val="Heading3"/>
    <w:rsid w:val="00A43F63"/>
    <w:pPr>
      <w:spacing w:after="240"/>
      <w:outlineLvl w:val="9"/>
    </w:pPr>
    <w:rPr>
      <w:noProof/>
    </w:rPr>
  </w:style>
  <w:style w:type="paragraph" w:styleId="Index2">
    <w:name w:val="index 2"/>
    <w:basedOn w:val="Normal"/>
    <w:next w:val="Normal"/>
    <w:semiHidden/>
    <w:rsid w:val="00A43F63"/>
    <w:pPr>
      <w:tabs>
        <w:tab w:val="right" w:pos="4176"/>
      </w:tabs>
      <w:ind w:left="568" w:hanging="284"/>
    </w:pPr>
    <w:rPr>
      <w:rFonts w:ascii="Garamond" w:hAnsi="Garamond"/>
    </w:rPr>
  </w:style>
  <w:style w:type="paragraph" w:customStyle="1" w:styleId="Byline">
    <w:name w:val="Byline"/>
    <w:rsid w:val="00A43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3F63"/>
    <w:pPr>
      <w:tabs>
        <w:tab w:val="clear" w:pos="3600"/>
        <w:tab w:val="clear" w:pos="3958"/>
      </w:tabs>
      <w:jc w:val="right"/>
    </w:pPr>
  </w:style>
  <w:style w:type="paragraph" w:styleId="Caption">
    <w:name w:val="caption"/>
    <w:basedOn w:val="BodyText"/>
    <w:next w:val="Normal"/>
    <w:qFormat/>
    <w:rsid w:val="00A43F63"/>
    <w:pPr>
      <w:framePr w:w="2268" w:hSpace="181" w:vSpace="181" w:wrap="around" w:vAnchor="text" w:hAnchor="page" w:x="1135" w:y="285" w:anchorLock="1"/>
    </w:pPr>
    <w:rPr>
      <w:i/>
    </w:rPr>
  </w:style>
  <w:style w:type="paragraph" w:customStyle="1" w:styleId="MiniTOCTitle">
    <w:name w:val="MiniTOCTitle"/>
    <w:basedOn w:val="Heading4"/>
    <w:rsid w:val="00A43F63"/>
    <w:pPr>
      <w:spacing w:before="240"/>
      <w:outlineLvl w:val="9"/>
    </w:pPr>
    <w:rPr>
      <w:noProof/>
      <w:sz w:val="24"/>
    </w:rPr>
  </w:style>
  <w:style w:type="paragraph" w:customStyle="1" w:styleId="MiniTOCItem">
    <w:name w:val="MiniTOCItem"/>
    <w:basedOn w:val="ListBullet"/>
    <w:rsid w:val="00A43F63"/>
    <w:pPr>
      <w:numPr>
        <w:numId w:val="0"/>
      </w:numPr>
      <w:tabs>
        <w:tab w:val="right" w:leader="dot" w:pos="6521"/>
      </w:tabs>
      <w:spacing w:before="0" w:after="0"/>
    </w:pPr>
  </w:style>
  <w:style w:type="paragraph" w:customStyle="1" w:styleId="TOFTitle">
    <w:name w:val="TOFTitle"/>
    <w:basedOn w:val="TOCTitle"/>
    <w:rsid w:val="00A43F63"/>
  </w:style>
  <w:style w:type="paragraph" w:styleId="TableofFigures">
    <w:name w:val="table of figures"/>
    <w:basedOn w:val="Normal"/>
    <w:next w:val="Normal"/>
    <w:semiHidden/>
    <w:rsid w:val="00A43F63"/>
    <w:pPr>
      <w:tabs>
        <w:tab w:val="right" w:leader="dot" w:pos="9072"/>
      </w:tabs>
      <w:ind w:left="970" w:hanging="403"/>
    </w:pPr>
    <w:rPr>
      <w:rFonts w:ascii="Times New Roman" w:hAnsi="Times New Roman"/>
      <w:b/>
    </w:rPr>
  </w:style>
  <w:style w:type="paragraph" w:styleId="ListNumber">
    <w:name w:val="List Number"/>
    <w:basedOn w:val="List"/>
    <w:rsid w:val="00A43F63"/>
    <w:pPr>
      <w:numPr>
        <w:numId w:val="10"/>
      </w:numPr>
    </w:pPr>
  </w:style>
  <w:style w:type="character" w:customStyle="1" w:styleId="WingdingSymbols">
    <w:name w:val="Wingding Symbols"/>
    <w:rsid w:val="00A43F63"/>
    <w:rPr>
      <w:rFonts w:ascii="Wingdings" w:hAnsi="Wingdings"/>
    </w:rPr>
  </w:style>
  <w:style w:type="paragraph" w:customStyle="1" w:styleId="TableHeading">
    <w:name w:val="Table Heading"/>
    <w:basedOn w:val="HeadingBase"/>
    <w:rsid w:val="00A43F63"/>
    <w:pPr>
      <w:keepLines/>
      <w:pBdr>
        <w:bottom w:val="single" w:sz="6" w:space="1" w:color="918585"/>
      </w:pBdr>
      <w:spacing w:before="240"/>
    </w:pPr>
  </w:style>
  <w:style w:type="character" w:customStyle="1" w:styleId="HotSpot">
    <w:name w:val="HotSpot"/>
    <w:rsid w:val="00A43F63"/>
    <w:rPr>
      <w:color w:val="0033CC"/>
      <w:u w:val="none"/>
    </w:rPr>
  </w:style>
  <w:style w:type="paragraph" w:customStyle="1" w:styleId="BodyTextRight">
    <w:name w:val="Body Text Right"/>
    <w:basedOn w:val="BodyText"/>
    <w:rsid w:val="00A43F63"/>
    <w:pPr>
      <w:spacing w:before="0" w:after="0"/>
      <w:jc w:val="right"/>
    </w:pPr>
  </w:style>
  <w:style w:type="paragraph" w:styleId="Index3">
    <w:name w:val="index 3"/>
    <w:basedOn w:val="ListNumber2"/>
    <w:next w:val="Normal"/>
    <w:semiHidden/>
    <w:rsid w:val="00A43F63"/>
    <w:pPr>
      <w:numPr>
        <w:numId w:val="0"/>
      </w:numPr>
      <w:tabs>
        <w:tab w:val="right" w:leader="dot" w:pos="4176"/>
      </w:tabs>
    </w:pPr>
  </w:style>
  <w:style w:type="paragraph" w:styleId="ListNumber2">
    <w:name w:val="List Number 2"/>
    <w:basedOn w:val="List2"/>
    <w:rsid w:val="00A43F63"/>
    <w:pPr>
      <w:numPr>
        <w:numId w:val="9"/>
      </w:numPr>
      <w:tabs>
        <w:tab w:val="clear" w:pos="1060"/>
      </w:tabs>
    </w:pPr>
  </w:style>
  <w:style w:type="paragraph" w:customStyle="1" w:styleId="MarginNote">
    <w:name w:val="Margin Note"/>
    <w:basedOn w:val="BodyText"/>
    <w:rsid w:val="00A43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3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3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43F63"/>
    <w:rPr>
      <w:sz w:val="32"/>
    </w:rPr>
  </w:style>
  <w:style w:type="paragraph" w:customStyle="1" w:styleId="HeadingProcedure">
    <w:name w:val="Heading Procedure"/>
    <w:basedOn w:val="HeadingBase"/>
    <w:next w:val="Normal"/>
    <w:rsid w:val="00A43F63"/>
    <w:pPr>
      <w:tabs>
        <w:tab w:val="left" w:pos="0"/>
      </w:tabs>
      <w:spacing w:before="120" w:after="60"/>
    </w:pPr>
    <w:rPr>
      <w:i/>
      <w:color w:val="918585"/>
      <w:sz w:val="22"/>
    </w:rPr>
  </w:style>
  <w:style w:type="paragraph" w:customStyle="1" w:styleId="TableBodyText">
    <w:name w:val="Table Body Text"/>
    <w:basedOn w:val="BodyText"/>
    <w:rsid w:val="00A43F63"/>
    <w:pPr>
      <w:spacing w:before="60" w:after="60"/>
    </w:pPr>
  </w:style>
  <w:style w:type="paragraph" w:styleId="ListContinue">
    <w:name w:val="List Continue"/>
    <w:basedOn w:val="List"/>
    <w:rsid w:val="00A43F63"/>
    <w:pPr>
      <w:ind w:firstLine="0"/>
    </w:pPr>
  </w:style>
  <w:style w:type="paragraph" w:customStyle="1" w:styleId="ListNote">
    <w:name w:val="List Note"/>
    <w:basedOn w:val="List"/>
    <w:rsid w:val="00A43F63"/>
    <w:pPr>
      <w:pBdr>
        <w:top w:val="single" w:sz="6" w:space="2" w:color="918585"/>
        <w:bottom w:val="single" w:sz="6" w:space="2" w:color="918585"/>
      </w:pBdr>
      <w:tabs>
        <w:tab w:val="left" w:pos="1021"/>
      </w:tabs>
      <w:ind w:firstLine="0"/>
    </w:pPr>
  </w:style>
  <w:style w:type="paragraph" w:customStyle="1" w:styleId="Warning">
    <w:name w:val="Warning"/>
    <w:basedOn w:val="BodyText"/>
    <w:rsid w:val="00A43F63"/>
    <w:pPr>
      <w:shd w:val="clear" w:color="auto" w:fill="D9D9D9"/>
      <w:tabs>
        <w:tab w:val="left" w:pos="992"/>
      </w:tabs>
      <w:ind w:left="119" w:right="119"/>
    </w:pPr>
    <w:rPr>
      <w:sz w:val="20"/>
    </w:rPr>
  </w:style>
  <w:style w:type="paragraph" w:customStyle="1" w:styleId="MarginIcons">
    <w:name w:val="Margin Icons"/>
    <w:basedOn w:val="BodyText"/>
    <w:rsid w:val="00A43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3F63"/>
    <w:rPr>
      <w:rFonts w:ascii="Courier New" w:hAnsi="Courier New"/>
    </w:rPr>
  </w:style>
  <w:style w:type="paragraph" w:customStyle="1" w:styleId="NoteBullet">
    <w:name w:val="Note Bullet"/>
    <w:basedOn w:val="Note"/>
    <w:rsid w:val="00A43F63"/>
    <w:pPr>
      <w:tabs>
        <w:tab w:val="clear" w:pos="680"/>
      </w:tabs>
      <w:spacing w:before="60" w:after="60"/>
    </w:pPr>
  </w:style>
  <w:style w:type="paragraph" w:customStyle="1" w:styleId="SubHeading2">
    <w:name w:val="SubHeading2"/>
    <w:basedOn w:val="HeadingBase"/>
    <w:rsid w:val="00A43F63"/>
    <w:pPr>
      <w:spacing w:before="240" w:after="60"/>
    </w:pPr>
    <w:rPr>
      <w:sz w:val="20"/>
    </w:rPr>
  </w:style>
  <w:style w:type="paragraph" w:customStyle="1" w:styleId="SubHeading1">
    <w:name w:val="SubHeading1"/>
    <w:basedOn w:val="HeadingBase"/>
    <w:rsid w:val="00A43F63"/>
    <w:pPr>
      <w:spacing w:before="240" w:after="60"/>
    </w:pPr>
    <w:rPr>
      <w:color w:val="918585"/>
      <w:sz w:val="22"/>
    </w:rPr>
  </w:style>
  <w:style w:type="paragraph" w:customStyle="1" w:styleId="SideHeading">
    <w:name w:val="Side Heading"/>
    <w:basedOn w:val="HeadingBase"/>
    <w:rsid w:val="00A43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3F63"/>
    <w:pPr>
      <w:tabs>
        <w:tab w:val="num" w:pos="360"/>
      </w:tabs>
    </w:pPr>
  </w:style>
  <w:style w:type="paragraph" w:styleId="PlainText">
    <w:name w:val="Plain Text"/>
    <w:basedOn w:val="Normal"/>
    <w:link w:val="PlainTextChar"/>
    <w:rsid w:val="00A43F63"/>
    <w:rPr>
      <w:sz w:val="20"/>
    </w:rPr>
  </w:style>
  <w:style w:type="character" w:customStyle="1" w:styleId="PlainTextChar">
    <w:name w:val="Plain Text Char"/>
    <w:basedOn w:val="DefaultParagraphFont"/>
    <w:link w:val="PlainText"/>
    <w:rsid w:val="00A43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43F63"/>
    <w:rPr>
      <w:b/>
      <w:smallCaps/>
    </w:rPr>
  </w:style>
  <w:style w:type="paragraph" w:customStyle="1" w:styleId="TableListNumber">
    <w:name w:val="Table List Number"/>
    <w:basedOn w:val="ListNumber"/>
    <w:rsid w:val="00A43F63"/>
    <w:pPr>
      <w:numPr>
        <w:numId w:val="0"/>
      </w:numPr>
    </w:pPr>
  </w:style>
  <w:style w:type="paragraph" w:styleId="TOC4">
    <w:name w:val="toc 4"/>
    <w:basedOn w:val="TOCBase"/>
    <w:next w:val="Normal"/>
    <w:semiHidden/>
    <w:rsid w:val="00A43F63"/>
    <w:pPr>
      <w:tabs>
        <w:tab w:val="right" w:leader="dot" w:pos="9071"/>
      </w:tabs>
      <w:ind w:left="1701"/>
    </w:pPr>
  </w:style>
  <w:style w:type="paragraph" w:customStyle="1" w:styleId="ListAlpha">
    <w:name w:val="List Alpha"/>
    <w:basedOn w:val="List"/>
    <w:rsid w:val="00A43F63"/>
    <w:pPr>
      <w:numPr>
        <w:numId w:val="8"/>
      </w:numPr>
    </w:pPr>
  </w:style>
  <w:style w:type="paragraph" w:customStyle="1" w:styleId="ListAlpha2">
    <w:name w:val="List Alpha 2"/>
    <w:basedOn w:val="List2"/>
    <w:rsid w:val="00A43F63"/>
    <w:pPr>
      <w:numPr>
        <w:numId w:val="7"/>
      </w:numPr>
    </w:pPr>
  </w:style>
  <w:style w:type="paragraph" w:styleId="List3">
    <w:name w:val="List 3"/>
    <w:basedOn w:val="BodyText"/>
    <w:rsid w:val="00A43F63"/>
    <w:pPr>
      <w:tabs>
        <w:tab w:val="left" w:pos="1021"/>
      </w:tabs>
      <w:spacing w:before="60" w:after="60"/>
      <w:ind w:left="1020" w:hanging="340"/>
    </w:pPr>
  </w:style>
  <w:style w:type="paragraph" w:styleId="List4">
    <w:name w:val="List 4"/>
    <w:basedOn w:val="BodyText"/>
    <w:rsid w:val="00A43F63"/>
    <w:pPr>
      <w:tabs>
        <w:tab w:val="left" w:pos="1361"/>
      </w:tabs>
      <w:spacing w:before="60" w:after="60"/>
      <w:ind w:left="1361" w:hanging="340"/>
    </w:pPr>
  </w:style>
  <w:style w:type="paragraph" w:styleId="List5">
    <w:name w:val="List 5"/>
    <w:basedOn w:val="BodyText"/>
    <w:rsid w:val="00A43F63"/>
    <w:pPr>
      <w:tabs>
        <w:tab w:val="left" w:pos="1701"/>
      </w:tabs>
      <w:spacing w:before="60" w:after="60"/>
      <w:ind w:left="1701" w:hanging="340"/>
    </w:pPr>
  </w:style>
  <w:style w:type="paragraph" w:styleId="ListBullet3">
    <w:name w:val="List Bullet 3"/>
    <w:basedOn w:val="List3"/>
    <w:rsid w:val="00A43F63"/>
    <w:pPr>
      <w:numPr>
        <w:numId w:val="14"/>
      </w:numPr>
      <w:tabs>
        <w:tab w:val="clear" w:pos="1021"/>
      </w:tabs>
      <w:ind w:left="1037" w:hanging="357"/>
    </w:pPr>
  </w:style>
  <w:style w:type="paragraph" w:styleId="ListBullet4">
    <w:name w:val="List Bullet 4"/>
    <w:basedOn w:val="List4"/>
    <w:rsid w:val="00A43F63"/>
    <w:pPr>
      <w:numPr>
        <w:numId w:val="2"/>
      </w:numPr>
    </w:pPr>
  </w:style>
  <w:style w:type="paragraph" w:styleId="ListBullet5">
    <w:name w:val="List Bullet 5"/>
    <w:basedOn w:val="List5"/>
    <w:rsid w:val="00A43F63"/>
    <w:pPr>
      <w:numPr>
        <w:numId w:val="3"/>
      </w:numPr>
    </w:pPr>
  </w:style>
  <w:style w:type="paragraph" w:styleId="ListContinue2">
    <w:name w:val="List Continue 2"/>
    <w:basedOn w:val="List2"/>
    <w:rsid w:val="00A43F63"/>
    <w:pPr>
      <w:ind w:firstLine="0"/>
    </w:pPr>
  </w:style>
  <w:style w:type="paragraph" w:styleId="ListContinue3">
    <w:name w:val="List Continue 3"/>
    <w:basedOn w:val="List3"/>
    <w:rsid w:val="00A43F63"/>
    <w:pPr>
      <w:ind w:left="1021" w:firstLine="0"/>
    </w:pPr>
  </w:style>
  <w:style w:type="paragraph" w:styleId="ListContinue4">
    <w:name w:val="List Continue 4"/>
    <w:basedOn w:val="List4"/>
    <w:rsid w:val="00A43F63"/>
    <w:pPr>
      <w:ind w:firstLine="0"/>
    </w:pPr>
  </w:style>
  <w:style w:type="paragraph" w:styleId="ListContinue5">
    <w:name w:val="List Continue 5"/>
    <w:basedOn w:val="List5"/>
    <w:rsid w:val="00A43F63"/>
    <w:pPr>
      <w:ind w:firstLine="0"/>
    </w:pPr>
  </w:style>
  <w:style w:type="paragraph" w:styleId="ListNumber3">
    <w:name w:val="List Number 3"/>
    <w:basedOn w:val="List3"/>
    <w:rsid w:val="00A43F63"/>
    <w:pPr>
      <w:numPr>
        <w:numId w:val="4"/>
      </w:numPr>
    </w:pPr>
  </w:style>
  <w:style w:type="paragraph" w:styleId="ListNumber4">
    <w:name w:val="List Number 4"/>
    <w:basedOn w:val="List4"/>
    <w:rsid w:val="00A43F63"/>
    <w:pPr>
      <w:numPr>
        <w:numId w:val="5"/>
      </w:numPr>
    </w:pPr>
  </w:style>
  <w:style w:type="paragraph" w:styleId="ListNumber5">
    <w:name w:val="List Number 5"/>
    <w:basedOn w:val="List5"/>
    <w:rsid w:val="00A43F63"/>
    <w:pPr>
      <w:numPr>
        <w:numId w:val="6"/>
      </w:numPr>
    </w:pPr>
  </w:style>
  <w:style w:type="paragraph" w:styleId="BlockText">
    <w:name w:val="Block Text"/>
    <w:basedOn w:val="Normal"/>
    <w:rsid w:val="00A43F63"/>
    <w:pPr>
      <w:spacing w:after="120"/>
      <w:ind w:left="1440" w:right="1440"/>
    </w:pPr>
  </w:style>
  <w:style w:type="character" w:customStyle="1" w:styleId="Subscript">
    <w:name w:val="Subscript"/>
    <w:basedOn w:val="DefaultParagraphFont"/>
    <w:rsid w:val="00A43F63"/>
    <w:rPr>
      <w:sz w:val="16"/>
      <w:vertAlign w:val="subscript"/>
    </w:rPr>
  </w:style>
  <w:style w:type="character" w:customStyle="1" w:styleId="Superscript">
    <w:name w:val="Superscript"/>
    <w:basedOn w:val="DefaultParagraphFont"/>
    <w:rsid w:val="00A43F63"/>
    <w:rPr>
      <w:sz w:val="16"/>
      <w:vertAlign w:val="superscript"/>
    </w:rPr>
  </w:style>
  <w:style w:type="character" w:customStyle="1" w:styleId="Symbols">
    <w:name w:val="Symbols"/>
    <w:basedOn w:val="DefaultParagraphFont"/>
    <w:rsid w:val="00A43F63"/>
    <w:rPr>
      <w:rFonts w:ascii="Symbol" w:hAnsi="Symbol"/>
    </w:rPr>
  </w:style>
  <w:style w:type="character" w:customStyle="1" w:styleId="MenuOptions">
    <w:name w:val="Menu Options"/>
    <w:basedOn w:val="DefaultParagraphFont"/>
    <w:rsid w:val="00A43F63"/>
    <w:rPr>
      <w:rFonts w:ascii="Arial Narrow" w:hAnsi="Arial Narrow"/>
      <w:smallCaps/>
    </w:rPr>
  </w:style>
  <w:style w:type="character" w:customStyle="1" w:styleId="Buttons">
    <w:name w:val="Buttons"/>
    <w:basedOn w:val="DefaultParagraphFont"/>
    <w:rsid w:val="00A43F63"/>
    <w:rPr>
      <w:b/>
    </w:rPr>
  </w:style>
  <w:style w:type="character" w:customStyle="1" w:styleId="Underlined">
    <w:name w:val="Underlined"/>
    <w:basedOn w:val="DefaultParagraphFont"/>
    <w:rsid w:val="00A43F63"/>
    <w:rPr>
      <w:u w:val="single"/>
    </w:rPr>
  </w:style>
  <w:style w:type="paragraph" w:customStyle="1" w:styleId="TableBodyTextRight">
    <w:name w:val="Table Body Text Right"/>
    <w:basedOn w:val="TableBodyText"/>
    <w:rsid w:val="00A43F63"/>
    <w:pPr>
      <w:widowControl w:val="0"/>
      <w:autoSpaceDE w:val="0"/>
      <w:autoSpaceDN w:val="0"/>
      <w:adjustRightInd w:val="0"/>
      <w:jc w:val="right"/>
    </w:pPr>
    <w:rPr>
      <w:rFonts w:cs="Arial"/>
      <w:szCs w:val="18"/>
    </w:rPr>
  </w:style>
  <w:style w:type="paragraph" w:customStyle="1" w:styleId="CopyrightText">
    <w:name w:val="Copyright Text"/>
    <w:basedOn w:val="BodyText"/>
    <w:rsid w:val="00A43F63"/>
    <w:rPr>
      <w:sz w:val="18"/>
    </w:rPr>
  </w:style>
  <w:style w:type="paragraph" w:customStyle="1" w:styleId="BodySmallRight">
    <w:name w:val="Body Small Right"/>
    <w:basedOn w:val="BodyTextRight"/>
    <w:rsid w:val="00A43F63"/>
    <w:rPr>
      <w:sz w:val="18"/>
      <w:szCs w:val="18"/>
    </w:rPr>
  </w:style>
  <w:style w:type="paragraph" w:customStyle="1" w:styleId="MarginEdition">
    <w:name w:val="Margin Edition"/>
    <w:basedOn w:val="MarginNote"/>
    <w:rsid w:val="00A43F63"/>
    <w:pPr>
      <w:spacing w:before="0" w:after="0"/>
    </w:pPr>
    <w:rPr>
      <w:rFonts w:ascii="Times New Roman" w:hAnsi="Times New Roman"/>
      <w:color w:val="999999"/>
    </w:rPr>
  </w:style>
  <w:style w:type="paragraph" w:customStyle="1" w:styleId="Spacer">
    <w:name w:val="Spacer"/>
    <w:basedOn w:val="Normal"/>
    <w:rsid w:val="00A43F63"/>
    <w:rPr>
      <w:sz w:val="2"/>
      <w:szCs w:val="2"/>
    </w:rPr>
  </w:style>
  <w:style w:type="character" w:customStyle="1" w:styleId="Small">
    <w:name w:val="Small"/>
    <w:basedOn w:val="DefaultParagraphFont"/>
    <w:rsid w:val="00A43F63"/>
    <w:rPr>
      <w:sz w:val="16"/>
    </w:rPr>
  </w:style>
  <w:style w:type="paragraph" w:customStyle="1" w:styleId="WideTable">
    <w:name w:val="Wide Table"/>
    <w:basedOn w:val="Normal"/>
    <w:rsid w:val="00A43F63"/>
    <w:pPr>
      <w:ind w:left="-1418"/>
    </w:pPr>
    <w:rPr>
      <w:sz w:val="2"/>
      <w:szCs w:val="2"/>
    </w:rPr>
  </w:style>
  <w:style w:type="character" w:styleId="PageNumber">
    <w:name w:val="page number"/>
    <w:basedOn w:val="DefaultParagraphFont"/>
    <w:rsid w:val="00A43F63"/>
  </w:style>
  <w:style w:type="paragraph" w:styleId="Quote">
    <w:name w:val="Quote"/>
    <w:basedOn w:val="Heading1"/>
    <w:link w:val="QuoteChar"/>
    <w:qFormat/>
    <w:rsid w:val="00A43F63"/>
    <w:rPr>
      <w:b w:val="0"/>
      <w:sz w:val="72"/>
      <w:szCs w:val="72"/>
      <w:lang w:val="en-NZ"/>
    </w:rPr>
  </w:style>
  <w:style w:type="character" w:customStyle="1" w:styleId="QuoteChar">
    <w:name w:val="Quote Char"/>
    <w:basedOn w:val="DefaultParagraphFont"/>
    <w:link w:val="Quote"/>
    <w:rsid w:val="00A43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3F63"/>
    <w:pPr>
      <w:pageBreakBefore/>
    </w:pPr>
  </w:style>
  <w:style w:type="paragraph" w:customStyle="1" w:styleId="Border">
    <w:name w:val="Border"/>
    <w:basedOn w:val="Normal"/>
    <w:qFormat/>
    <w:rsid w:val="00A43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3F63"/>
    <w:rPr>
      <w:b/>
      <w:bCs/>
      <w:i/>
      <w:iCs/>
      <w:color w:val="auto"/>
    </w:rPr>
  </w:style>
  <w:style w:type="paragraph" w:styleId="IntenseQuote">
    <w:name w:val="Intense Quote"/>
    <w:basedOn w:val="Normal"/>
    <w:next w:val="Normal"/>
    <w:link w:val="IntenseQuoteChar"/>
    <w:uiPriority w:val="30"/>
    <w:qFormat/>
    <w:rsid w:val="00A43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3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43F63"/>
    <w:rPr>
      <w:smallCaps/>
      <w:color w:val="auto"/>
      <w:u w:val="single"/>
    </w:rPr>
  </w:style>
  <w:style w:type="character" w:styleId="IntenseReference">
    <w:name w:val="Intense Reference"/>
    <w:basedOn w:val="DefaultParagraphFont"/>
    <w:uiPriority w:val="32"/>
    <w:qFormat/>
    <w:rsid w:val="00A43F63"/>
    <w:rPr>
      <w:b/>
      <w:bCs/>
      <w:smallCaps/>
      <w:color w:val="auto"/>
      <w:spacing w:val="5"/>
      <w:u w:val="single"/>
    </w:rPr>
  </w:style>
  <w:style w:type="paragraph" w:customStyle="1" w:styleId="2ColumnHeading">
    <w:name w:val="2Column Heading"/>
    <w:basedOn w:val="BodyText"/>
    <w:qFormat/>
    <w:rsid w:val="00A43F63"/>
    <w:pPr>
      <w:spacing w:after="60"/>
      <w:ind w:left="-2268"/>
    </w:pPr>
    <w:rPr>
      <w:b/>
    </w:rPr>
  </w:style>
  <w:style w:type="paragraph" w:customStyle="1" w:styleId="Heading1TOC">
    <w:name w:val="Heading1 TOC"/>
    <w:basedOn w:val="Normal"/>
    <w:qFormat/>
    <w:rsid w:val="00A43F63"/>
    <w:pPr>
      <w:spacing w:before="240" w:after="120"/>
    </w:pPr>
    <w:rPr>
      <w:rFonts w:ascii="Times New Roman" w:hAnsi="Times New Roman"/>
      <w:b/>
      <w:sz w:val="32"/>
    </w:rPr>
  </w:style>
  <w:style w:type="paragraph" w:customStyle="1" w:styleId="Heading2TOC">
    <w:name w:val="Heading2 TOC"/>
    <w:basedOn w:val="Normal"/>
    <w:qFormat/>
    <w:rsid w:val="00A43F63"/>
    <w:pPr>
      <w:spacing w:before="240" w:after="60"/>
    </w:pPr>
    <w:rPr>
      <w:rFonts w:ascii="Times New Roman" w:hAnsi="Times New Roman"/>
      <w:b/>
      <w:sz w:val="28"/>
    </w:rPr>
  </w:style>
  <w:style w:type="character" w:customStyle="1" w:styleId="Underline">
    <w:name w:val="Underline"/>
    <w:basedOn w:val="DefaultParagraphFont"/>
    <w:qFormat/>
    <w:rsid w:val="00A43F63"/>
    <w:rPr>
      <w:u w:val="single"/>
    </w:rPr>
  </w:style>
  <w:style w:type="paragraph" w:styleId="BalloonText">
    <w:name w:val="Balloon Text"/>
    <w:basedOn w:val="Normal"/>
    <w:link w:val="BalloonTextChar"/>
    <w:rsid w:val="00A43F63"/>
    <w:rPr>
      <w:rFonts w:ascii="Tahoma" w:hAnsi="Tahoma" w:cs="Tahoma"/>
      <w:sz w:val="16"/>
      <w:szCs w:val="16"/>
    </w:rPr>
  </w:style>
  <w:style w:type="character" w:customStyle="1" w:styleId="BalloonTextChar">
    <w:name w:val="Balloon Text Char"/>
    <w:basedOn w:val="DefaultParagraphFont"/>
    <w:link w:val="BalloonText"/>
    <w:rsid w:val="00A43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43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43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1919</Words>
  <Characters>11943</Characters>
  <Application>Microsoft Office Word</Application>
  <DocSecurity>0</DocSecurity>
  <Lines>379</Lines>
  <Paragraphs>159</Paragraphs>
  <ScaleCrop>false</ScaleCrop>
  <Company>Author-it Software Corporation Ltd.</Company>
  <LinksUpToDate>false</LinksUpToDate>
  <CharactersWithSpaces>13774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FDFAU4005A Audit bivalve mollusc growing and harvesting processes</dc:title>
  <dc:subject>Approved</dc:subject>
  <dc:creator>AgriFood Skills Australia</dc:creator>
  <cp:keywords>Revision Number: 1</cp:keywords>
  <dc:description>Copyright © 1996-2007 Author-it Software Corporation Ltd., all rights reserved.</dc:description>
  <cp:lastModifiedBy>Craig Taylor</cp:lastModifiedBy>
  <cp:revision>3</cp:revision>
  <dcterms:created xsi:type="dcterms:W3CDTF">2012-05-26T15:48:00Z</dcterms:created>
  <dcterms:modified xsi:type="dcterms:W3CDTF">2012-05-26T15:48:00Z</dcterms:modified>
</cp:coreProperties>
</file>