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4A4" w:rsidP="00EB64A4">
      <w:pPr>
        <w:pStyle w:val="Title"/>
      </w:pPr>
      <w:r>
        <w:fldChar w:fldCharType="begin"/>
      </w:r>
      <w:r>
        <w:instrText xml:space="preserve"> TITLE   \* MERGEFORMAT </w:instrText>
      </w:r>
      <w:r>
        <w:fldChar w:fldCharType="separate"/>
      </w:r>
      <w:r>
        <w:t>FDFAU4004A Identify, evaluate and control food safety hazards</w:t>
      </w:r>
      <w:r>
        <w:fldChar w:fldCharType="end"/>
      </w:r>
    </w:p>
    <w:p w:rsidR="00EB64A4" w:rsidP="00EB64A4">
      <w:pPr>
        <w:pStyle w:val="Version"/>
        <w:sectPr w:rsidSect="00494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467D" w:rsidP="0049467D">
      <w:pPr>
        <w:pStyle w:val="SuperHeading"/>
      </w:pPr>
      <w:r w:rsidRPr="0049467D">
        <w:t>FDFAU4004A Identify, evaluate and control food safety hazards</w:t>
      </w:r>
    </w:p>
    <w:p w:rsidR="00000000" w:rsidRPr="0049467D" w:rsidP="0049467D">
      <w:pPr>
        <w:pStyle w:val="SuperHeading"/>
      </w:pPr>
    </w:p>
    <w:p w:rsidR="00000000" w:rsidRPr="0049467D" w:rsidP="0049467D">
      <w:pPr>
        <w:pStyle w:val="Heading1"/>
      </w:pPr>
      <w:bookmarkStart w:id="1" w:name="O_74127"/>
      <w:bookmarkEnd w:id="1"/>
      <w:r w:rsidRPr="0049467D">
        <w:t>Modification History</w:t>
      </w:r>
    </w:p>
    <w:p w:rsidR="00000000" w:rsidRPr="0049467D" w:rsidP="0049467D">
      <w:pPr>
        <w:pStyle w:val="BodyText"/>
      </w:pPr>
      <w:r w:rsidRPr="0049467D">
        <w:t>Not applicable.</w:t>
      </w:r>
    </w:p>
    <w:p w:rsidR="00000000" w:rsidRPr="0049467D" w:rsidP="0049467D">
      <w:pPr>
        <w:pStyle w:val="AllowPageBreak"/>
      </w:pPr>
    </w:p>
    <w:p w:rsidR="00000000" w:rsidRPr="0049467D" w:rsidP="0049467D">
      <w:pPr>
        <w:pStyle w:val="Heading1"/>
      </w:pPr>
      <w:bookmarkStart w:id="2" w:name="O_74128"/>
      <w:bookmarkEnd w:id="2"/>
      <w:r w:rsidRPr="0049467D">
        <w:t>Unit Descriptor</w:t>
      </w:r>
    </w:p>
    <w:tbl>
      <w:tblPr>
        <w:tblW w:w="0" w:type="auto"/>
        <w:tblLayout w:type="fixed"/>
        <w:tblCellMar>
          <w:left w:w="62" w:type="dxa"/>
          <w:right w:w="62" w:type="dxa"/>
        </w:tblCellMar>
        <w:tblLook w:val="0000"/>
      </w:tblPr>
      <w:tblGrid>
        <w:gridCol w:w="2671"/>
        <w:gridCol w:w="5851"/>
      </w:tblGrid>
      <w:tr w:rsidTr="00EB64A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 xml:space="preserve">This unit of competency covers the skills and knowledge required to identify, evaluate and </w:t>
            </w:r>
            <w:r w:rsidRPr="0049467D">
              <w:t xml:space="preserve">control food safety hazards for the purposes of validating specific control measures in a food safety program. </w:t>
            </w: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3" w:name="O_74129"/>
      <w:bookmarkEnd w:id="3"/>
      <w:r w:rsidRPr="0049467D">
        <w:t>Application of the Unit</w:t>
      </w:r>
    </w:p>
    <w:tbl>
      <w:tblPr>
        <w:tblW w:w="0" w:type="auto"/>
        <w:tblLayout w:type="fixed"/>
        <w:tblCellMar>
          <w:left w:w="62" w:type="dxa"/>
          <w:right w:w="62" w:type="dxa"/>
        </w:tblCellMar>
        <w:tblLook w:val="0000"/>
      </w:tblPr>
      <w:tblGrid>
        <w:gridCol w:w="2744"/>
        <w:gridCol w:w="5778"/>
      </w:tblGrid>
      <w:tr w:rsidTr="00EB64A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 xml:space="preserve">This unit applies to regulatory, commercial and internal food safety system auditors.  </w:t>
            </w:r>
          </w:p>
          <w:p w:rsidR="00000000" w:rsidRPr="0049467D" w:rsidP="0049467D">
            <w:pPr>
              <w:pStyle w:val="BodyText"/>
            </w:pPr>
            <w:r w:rsidRPr="0049467D">
              <w:t>When this unit is applied to regulatory auditing it should be noted that the National Food Safety Audit Policy for regulatory auditing requires that, when assessing com</w:t>
            </w:r>
            <w:r w:rsidRPr="0049467D">
              <w:t>pliance of food safety programs in a medium or high risk environment, the following units must be pre or co-assessed with this unit:</w:t>
            </w:r>
          </w:p>
          <w:p w:rsidR="00000000" w:rsidRPr="0049467D" w:rsidP="0049467D">
            <w:pPr>
              <w:pStyle w:val="ListBullet"/>
            </w:pPr>
            <w:r w:rsidRPr="0049467D">
              <w:t>FDFAU4002A Communicate and negotiate to conduct food safety audits</w:t>
            </w:r>
          </w:p>
          <w:p w:rsidR="00000000" w:rsidRPr="0049467D" w:rsidP="0049467D">
            <w:pPr>
              <w:pStyle w:val="ListBullet"/>
            </w:pPr>
            <w:r w:rsidRPr="0049467D">
              <w:t>FDFAU4003A Conduct food safety audits.</w:t>
            </w:r>
          </w:p>
          <w:p w:rsidR="00000000" w:rsidRPr="0049467D" w:rsidP="0049467D">
            <w:pPr>
              <w:pStyle w:val="BodyText"/>
            </w:pPr>
            <w:r w:rsidRPr="0049467D">
              <w:t xml:space="preserve">When applied to </w:t>
            </w:r>
            <w:r w:rsidRPr="0049467D">
              <w:t>conducting regulatory food safety audits of high risk food businesses or processes, additional food safety auditing unit/s relevant to the specified business or process may be required under the National Food Safety Audit Policy. Current high risk food saf</w:t>
            </w:r>
            <w:r w:rsidRPr="0049467D">
              <w:t>ety auditing units are:</w:t>
            </w:r>
          </w:p>
          <w:p w:rsidR="00000000" w:rsidRPr="0049467D" w:rsidP="0049467D">
            <w:pPr>
              <w:pStyle w:val="ListBullet"/>
            </w:pPr>
            <w:r w:rsidRPr="0049467D">
              <w:t>FDFAU4005A Audit bivalve mollusc growing and harvesting processes</w:t>
            </w:r>
          </w:p>
          <w:p w:rsidR="00000000" w:rsidRPr="0049467D" w:rsidP="0049467D">
            <w:pPr>
              <w:pStyle w:val="ListBullet"/>
            </w:pPr>
            <w:r w:rsidRPr="0049467D">
              <w:t xml:space="preserve">FDFAU4006A Audit a cook chill process </w:t>
            </w:r>
          </w:p>
          <w:p w:rsidR="00000000" w:rsidRPr="0049467D" w:rsidP="0049467D">
            <w:pPr>
              <w:pStyle w:val="ListBullet"/>
            </w:pPr>
            <w:r w:rsidRPr="0049467D">
              <w:t>FDFAU4007A Audit a heat treatment process</w:t>
            </w:r>
          </w:p>
          <w:p w:rsidR="00000000" w:rsidRPr="0049467D" w:rsidP="0049467D">
            <w:pPr>
              <w:pStyle w:val="ListBullet"/>
            </w:pPr>
            <w:r w:rsidRPr="0049467D">
              <w:t>FDFAU4008A Audit manufacturing of ready-to-eat meat products.</w:t>
            </w: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4" w:name="O_74130"/>
      <w:bookmarkEnd w:id="4"/>
      <w:r w:rsidRPr="0049467D">
        <w:t>Licensing/Regulatory Information</w:t>
      </w:r>
    </w:p>
    <w:p w:rsidR="00000000" w:rsidRPr="0049467D" w:rsidP="0049467D">
      <w:pPr>
        <w:pStyle w:val="BodyText"/>
      </w:pPr>
      <w:r w:rsidRPr="0049467D">
        <w:t>Not applicable.</w:t>
      </w:r>
    </w:p>
    <w:p w:rsidR="00000000" w:rsidRPr="0049467D" w:rsidP="0049467D">
      <w:pPr>
        <w:pStyle w:val="AllowPageBreak"/>
      </w:pPr>
    </w:p>
    <w:p w:rsidR="00000000" w:rsidRPr="0049467D" w:rsidP="0049467D">
      <w:pPr>
        <w:pStyle w:val="Heading1"/>
      </w:pPr>
      <w:bookmarkStart w:id="5" w:name="O_74131"/>
      <w:bookmarkEnd w:id="5"/>
      <w:r w:rsidRPr="0049467D">
        <w:t>Pre-Requisites</w:t>
      </w:r>
    </w:p>
    <w:tbl>
      <w:tblPr>
        <w:tblW w:w="0" w:type="auto"/>
        <w:tblLayout w:type="fixed"/>
        <w:tblCellMar>
          <w:left w:w="62" w:type="dxa"/>
          <w:right w:w="62" w:type="dxa"/>
        </w:tblCellMar>
        <w:tblLook w:val="0000"/>
      </w:tblPr>
      <w:tblGrid>
        <w:gridCol w:w="2775"/>
        <w:gridCol w:w="1295"/>
        <w:gridCol w:w="4452"/>
      </w:tblGrid>
      <w:tr w:rsidTr="00EB64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p>
        </w:tc>
      </w:tr>
      <w:tr w:rsidTr="00EB64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p>
        </w:tc>
      </w:tr>
      <w:tr w:rsidTr="00EB64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6" w:name="O_74132"/>
      <w:bookmarkEnd w:id="6"/>
      <w:r w:rsidRPr="0049467D">
        <w:t>Employability Skills Information</w:t>
      </w:r>
    </w:p>
    <w:tbl>
      <w:tblPr>
        <w:tblW w:w="0" w:type="auto"/>
        <w:tblLayout w:type="fixed"/>
        <w:tblCellMar>
          <w:left w:w="62" w:type="dxa"/>
          <w:right w:w="62" w:type="dxa"/>
        </w:tblCellMar>
        <w:tblLook w:val="0000"/>
      </w:tblPr>
      <w:tblGrid>
        <w:gridCol w:w="2802"/>
        <w:gridCol w:w="5720"/>
      </w:tblGrid>
      <w:tr w:rsidTr="00EB64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 xml:space="preserve">This unit contains employability skills.  </w:t>
            </w: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7" w:name="O_74133"/>
      <w:bookmarkEnd w:id="7"/>
      <w:r w:rsidRPr="0049467D">
        <w:t>Elements and Performance Criteria Pre-Content</w:t>
      </w:r>
    </w:p>
    <w:tbl>
      <w:tblPr>
        <w:tblW w:w="0" w:type="auto"/>
        <w:tblLayout w:type="fixed"/>
        <w:tblCellMar>
          <w:left w:w="62" w:type="dxa"/>
          <w:right w:w="62" w:type="dxa"/>
        </w:tblCellMar>
        <w:tblLook w:val="0000"/>
      </w:tblPr>
      <w:tblGrid>
        <w:gridCol w:w="2545"/>
        <w:gridCol w:w="5977"/>
      </w:tblGrid>
      <w:tr w:rsidTr="00EB64A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Performance criteria describe the performance needed to demonstrate achievement of the element. Where bold italicised text is used, further info</w:t>
            </w:r>
            <w:r w:rsidRPr="0049467D">
              <w:t>rmation is detailed in the required skills and knowledge section and the range statement. Assessment of performance is to be consistent with the evidence guide.</w:t>
            </w: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8" w:name="O_74134"/>
      <w:bookmarkEnd w:id="8"/>
      <w:r w:rsidRPr="0049467D">
        <w:t>Elements and Performance Criteria</w:t>
      </w:r>
    </w:p>
    <w:tbl>
      <w:tblPr>
        <w:tblW w:w="0" w:type="auto"/>
        <w:tblLayout w:type="fixed"/>
        <w:tblCellMar>
          <w:left w:w="62" w:type="dxa"/>
          <w:right w:w="62" w:type="dxa"/>
        </w:tblCellMar>
        <w:tblLook w:val="0000"/>
      </w:tblPr>
      <w:tblGrid>
        <w:gridCol w:w="2545"/>
        <w:gridCol w:w="5977"/>
      </w:tblGrid>
      <w:tr w:rsidTr="00EB64A4">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PERFORMANCE CRITERIA</w:t>
            </w:r>
          </w:p>
        </w:tc>
      </w:tr>
      <w:tr w:rsidTr="00EB64A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List"/>
              <w:rPr>
                <w:lang w:val="en-NZ"/>
              </w:rPr>
            </w:pPr>
            <w:r w:rsidRPr="0049467D">
              <w:t>1.</w:t>
            </w:r>
            <w:r w:rsidRPr="0049467D">
              <w:tab/>
            </w:r>
            <w:r w:rsidRPr="0049467D">
              <w:t>Identify food safety hazards in a food business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List2"/>
            </w:pPr>
            <w:r w:rsidRPr="0049467D">
              <w:t>1.1.</w:t>
            </w:r>
            <w:r w:rsidRPr="0049467D">
              <w:tab/>
              <w:t>Biological food safety hazards that could present a risk in the food at the point of consumption are identified by type, origin and food association and assessed to determine risk level and control requi</w:t>
            </w:r>
            <w:r w:rsidRPr="0049467D">
              <w:t>rements</w:t>
            </w:r>
          </w:p>
          <w:p w:rsidR="00000000" w:rsidRPr="0049467D" w:rsidP="0049467D">
            <w:pPr>
              <w:pStyle w:val="List2"/>
            </w:pPr>
            <w:r w:rsidRPr="0049467D">
              <w:t>1.2.</w:t>
            </w:r>
            <w:r w:rsidRPr="0049467D">
              <w:tab/>
              <w:t>Intrinsic and extrinsic chemical food safety hazards that could present a risk in the food at the point of consumption, including toxin presence, are identified by type, origin and food association and assessed to determine risk level and cont</w:t>
            </w:r>
            <w:r w:rsidRPr="0049467D">
              <w:t>rol requirements</w:t>
            </w:r>
          </w:p>
          <w:p w:rsidR="00000000" w:rsidP="0049467D">
            <w:pPr>
              <w:pStyle w:val="List2"/>
              <w:rPr>
                <w:lang w:val="en-NZ"/>
              </w:rPr>
            </w:pPr>
            <w:r w:rsidRPr="0049467D">
              <w:t>1.3.</w:t>
            </w:r>
            <w:r w:rsidRPr="0049467D">
              <w:tab/>
              <w:t>Physical food safety hazards that present a risk in food are identified and assessed to determine control requirements</w:t>
            </w:r>
          </w:p>
        </w:tc>
      </w:tr>
      <w:tr w:rsidTr="00EB64A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List"/>
              <w:rPr>
                <w:lang w:val="en-NZ"/>
              </w:rPr>
            </w:pPr>
            <w:r w:rsidRPr="0049467D">
              <w:t>2.</w:t>
            </w:r>
            <w:r w:rsidRPr="0049467D">
              <w:tab/>
              <w:t>Control food safety hazards in a food business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List2"/>
            </w:pPr>
            <w:r w:rsidRPr="0049467D">
              <w:t>2.1.</w:t>
            </w:r>
            <w:r w:rsidRPr="0049467D">
              <w:tab/>
              <w:t>Processing hazards and related control measures and critica</w:t>
            </w:r>
            <w:r w:rsidRPr="0049467D">
              <w:t xml:space="preserve">l limits, monitoring and recording requirements are established and validated to eliminate or reduce food safety hazards to acceptable levels  </w:t>
            </w:r>
          </w:p>
          <w:p w:rsidR="00000000" w:rsidRPr="0049467D" w:rsidP="0049467D">
            <w:pPr>
              <w:pStyle w:val="List2"/>
            </w:pPr>
            <w:r w:rsidRPr="0049467D">
              <w:t>2.2.</w:t>
            </w:r>
            <w:r w:rsidRPr="0049467D">
              <w:tab/>
              <w:t>Food storage and handling requirements necessary to eliminate or reduce food safety hazards are determined</w:t>
            </w:r>
          </w:p>
          <w:p w:rsidR="00000000" w:rsidRPr="0049467D" w:rsidP="0049467D">
            <w:pPr>
              <w:pStyle w:val="List2"/>
            </w:pPr>
            <w:r w:rsidRPr="0049467D">
              <w:t>2.3.</w:t>
            </w:r>
            <w:r w:rsidRPr="0049467D">
              <w:tab/>
              <w:t>Personal hygiene practices required to eliminate or reduce food safety hazards are established</w:t>
            </w:r>
          </w:p>
          <w:p w:rsidR="00000000" w:rsidRPr="0049467D" w:rsidP="0049467D">
            <w:pPr>
              <w:pStyle w:val="List2"/>
            </w:pPr>
            <w:r w:rsidRPr="0049467D">
              <w:t>2.4.</w:t>
            </w:r>
            <w:r w:rsidRPr="0049467D">
              <w:tab/>
              <w:t>Cleaning and sanitation, housekeeping and pest control practices and procedures required to prevent or reduce food safety hazards are established</w:t>
            </w:r>
          </w:p>
          <w:p w:rsidR="00000000" w:rsidRPr="0049467D" w:rsidP="0049467D">
            <w:pPr>
              <w:pStyle w:val="List2"/>
            </w:pPr>
            <w:r w:rsidRPr="0049467D">
              <w:t>2.5.</w:t>
            </w:r>
            <w:r w:rsidRPr="0049467D">
              <w:tab/>
            </w:r>
            <w:r w:rsidRPr="0049467D">
              <w:t>Other prerequisite programs are developed to eliminate or reduce food safety hazards to acceptable levels</w:t>
            </w: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9" w:name="O_74135"/>
      <w:bookmarkEnd w:id="9"/>
      <w:r w:rsidRPr="0049467D">
        <w:t>Required Skills and Knowledge</w:t>
      </w:r>
    </w:p>
    <w:tbl>
      <w:tblPr>
        <w:tblW w:w="0" w:type="auto"/>
        <w:tblLayout w:type="fixed"/>
        <w:tblCellMar>
          <w:left w:w="62" w:type="dxa"/>
          <w:right w:w="62" w:type="dxa"/>
        </w:tblCellMar>
        <w:tblLook w:val="0000"/>
      </w:tblPr>
      <w:tblGrid>
        <w:gridCol w:w="8522"/>
      </w:tblGrid>
      <w:tr w:rsidTr="00EB64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REQUIRED SKILLS AND KNOWLEDGE</w:t>
            </w:r>
          </w:p>
        </w:tc>
      </w:tr>
      <w:tr w:rsidTr="00EB64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This section describes the skills and knowledge required for this unit.</w:t>
            </w:r>
          </w:p>
        </w:tc>
      </w:tr>
      <w:tr w:rsidTr="00EB64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Required skills</w:t>
            </w:r>
          </w:p>
        </w:tc>
      </w:tr>
      <w:tr w:rsidTr="00EB64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rPr>
                <w:rStyle w:val="BoldandItalics"/>
              </w:rPr>
              <w:t>Ability to</w:t>
            </w:r>
            <w:r w:rsidRPr="0049467D">
              <w:t>:</w:t>
            </w:r>
          </w:p>
          <w:p w:rsidR="00000000" w:rsidRPr="0049467D" w:rsidP="0049467D">
            <w:pPr>
              <w:pStyle w:val="ListBullet"/>
            </w:pPr>
            <w:r w:rsidRPr="0049467D">
              <w:t>interpret and apply relevant legislation, codes of practice and technical standards</w:t>
            </w:r>
          </w:p>
          <w:p w:rsidR="00000000" w:rsidRPr="0049467D" w:rsidP="0049467D">
            <w:pPr>
              <w:pStyle w:val="ListBullet"/>
            </w:pPr>
            <w:r w:rsidRPr="0049467D">
              <w:t>identify biological, chemical and physical food safety hazards</w:t>
            </w:r>
          </w:p>
          <w:p w:rsidR="00000000" w:rsidRPr="0049467D" w:rsidP="0049467D">
            <w:pPr>
              <w:pStyle w:val="ListBullet"/>
            </w:pPr>
            <w:r w:rsidRPr="0049467D">
              <w:t>determine critical control points and critical limits for identified hazards</w:t>
            </w:r>
          </w:p>
          <w:p w:rsidR="00000000" w:rsidRPr="0049467D" w:rsidP="0049467D">
            <w:pPr>
              <w:pStyle w:val="ListBullet"/>
            </w:pPr>
            <w:r w:rsidRPr="0049467D">
              <w:t>establish the required procedures, systems and records to monitor critical control points in order to demonstrate that the critical control point is in control</w:t>
            </w:r>
          </w:p>
          <w:p w:rsidR="00000000" w:rsidP="0049467D">
            <w:pPr>
              <w:pStyle w:val="ListBullet"/>
              <w:rPr>
                <w:lang w:val="en-NZ"/>
              </w:rPr>
            </w:pPr>
            <w:r w:rsidRPr="0049467D">
              <w:t>specify required corrective actions and corrections to be taken when critical limits are not ach</w:t>
            </w:r>
            <w:r w:rsidRPr="0049467D">
              <w:t xml:space="preserve">ieved </w:t>
            </w:r>
          </w:p>
        </w:tc>
      </w:tr>
      <w:tr w:rsidTr="00EB64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Required knowledge</w:t>
            </w:r>
          </w:p>
        </w:tc>
      </w:tr>
      <w:tr w:rsidTr="00EB64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rPr>
                <w:rStyle w:val="BoldandItalics"/>
              </w:rPr>
              <w:t>Knowledge of</w:t>
            </w:r>
            <w:r w:rsidRPr="0049467D">
              <w:t>:</w:t>
            </w:r>
          </w:p>
          <w:p w:rsidR="00000000" w:rsidRPr="0049467D" w:rsidP="0049467D">
            <w:pPr>
              <w:pStyle w:val="ListBullet"/>
            </w:pPr>
            <w:r w:rsidRPr="0049467D">
              <w:t>sources of advice and research on foods, processing methods, production technologies and associated food safety hazards and control methods</w:t>
            </w:r>
          </w:p>
          <w:p w:rsidR="00000000" w:rsidRPr="0049467D" w:rsidP="0049467D">
            <w:pPr>
              <w:pStyle w:val="ListBullet"/>
            </w:pPr>
            <w:r w:rsidRPr="0049467D">
              <w:t xml:space="preserve">ways in which food can cause illness and injury, including incidence and </w:t>
            </w:r>
            <w:r w:rsidRPr="0049467D">
              <w:t>trends in food-borne illness</w:t>
            </w:r>
          </w:p>
          <w:p w:rsidR="00000000" w:rsidRPr="0049467D" w:rsidP="0049467D">
            <w:pPr>
              <w:pStyle w:val="ListBullet"/>
            </w:pPr>
            <w:r w:rsidRPr="0049467D">
              <w:t>intrinsic and extrinsic factors that can impact on food safety</w:t>
            </w:r>
          </w:p>
          <w:p w:rsidR="00000000" w:rsidRPr="0049467D" w:rsidP="0049467D">
            <w:pPr>
              <w:pStyle w:val="ListBullet"/>
            </w:pPr>
            <w:r w:rsidRPr="0049467D">
              <w:t>common biological food safety hazards (including toxin production and spore formation) and conditions required for survival and growth of each, including growth rat</w:t>
            </w:r>
            <w:r w:rsidRPr="0049467D">
              <w:t xml:space="preserve">es, transmission routes, likely carriers and threshold levels </w:t>
            </w:r>
          </w:p>
          <w:p w:rsidR="00000000" w:rsidRPr="0049467D" w:rsidP="0049467D">
            <w:pPr>
              <w:pStyle w:val="ListBullet"/>
            </w:pPr>
            <w:r w:rsidRPr="0049467D">
              <w:t>sources of information on acceptable (and legal) levels of biological, chemical and physical contamination</w:t>
            </w:r>
          </w:p>
          <w:p w:rsidR="00000000" w:rsidRPr="0049467D" w:rsidP="0049467D">
            <w:pPr>
              <w:pStyle w:val="ListBullet"/>
            </w:pPr>
            <w:r w:rsidRPr="0049467D">
              <w:t>food supply chains and potential of a breakdown in control at one point to impact othe</w:t>
            </w:r>
            <w:r w:rsidRPr="0049467D">
              <w:t xml:space="preserve">r parts of the chain </w:t>
            </w:r>
          </w:p>
          <w:p w:rsidR="00000000" w:rsidRPr="0049467D" w:rsidP="0049467D">
            <w:pPr>
              <w:pStyle w:val="ListBullet"/>
            </w:pPr>
            <w:r w:rsidRPr="0049467D">
              <w:t>survival and growth requirements of biological food safety hazards</w:t>
            </w:r>
          </w:p>
          <w:p w:rsidR="00000000" w:rsidRPr="0049467D" w:rsidP="0049467D">
            <w:pPr>
              <w:pStyle w:val="ListBullet"/>
            </w:pPr>
            <w:r w:rsidRPr="0049467D">
              <w:t>common allergenic substances as described by the Food Standards Code (and may be additionally defined by system owners)</w:t>
            </w:r>
          </w:p>
          <w:p w:rsidR="00000000" w:rsidRPr="0049467D" w:rsidP="0049467D">
            <w:pPr>
              <w:pStyle w:val="ListBullet"/>
            </w:pPr>
            <w:r w:rsidRPr="0049467D">
              <w:t>common control methods necess</w:t>
            </w:r>
            <w:r w:rsidRPr="0049467D">
              <w:t>ary to eliminate or reduce the risk of food-borne illness to acceptable levels for each common pathogen, including the role of food storage, temperature control, preservation and process methods, traceability, product shelf-life, cleaning and sanitation, a</w:t>
            </w:r>
            <w:r w:rsidRPr="0049467D">
              <w:t>nd pest control</w:t>
            </w:r>
          </w:p>
          <w:p w:rsidR="00000000" w:rsidRPr="0049467D" w:rsidP="0049467D">
            <w:pPr>
              <w:pStyle w:val="ListBullet"/>
            </w:pPr>
            <w:r w:rsidRPr="0049467D">
              <w:t>methods to detect and minimise the risk of food contamination by personal carriers, including convalescent and symptomless carriers, and related minimum legal illness reporting requirements and personal hygiene procedures</w:t>
            </w:r>
          </w:p>
          <w:p w:rsidR="00000000" w:rsidRPr="0049467D" w:rsidP="0049467D">
            <w:pPr>
              <w:pStyle w:val="ListBullet"/>
            </w:pPr>
            <w:r w:rsidRPr="0049467D">
              <w:t>the role of microb</w:t>
            </w:r>
            <w:r w:rsidRPr="0049467D">
              <w:t>iological sampling, swabbing and testing in assessing the presence of biological contamination</w:t>
            </w:r>
          </w:p>
          <w:p w:rsidR="00000000" w:rsidRPr="0049467D" w:rsidP="0049467D">
            <w:pPr>
              <w:pStyle w:val="ListBullet"/>
            </w:pPr>
            <w:r w:rsidRPr="0049467D">
              <w:t>methods to determine the appropriateness and effectiveness of control measures and critical limits, including identifying the effect of control measures on the i</w:t>
            </w:r>
            <w:r w:rsidRPr="0049467D">
              <w:t>dentified food safety hazard, method and feasibility of monitoring, the relationship to other control measures, and the severity of consequences and required corrective action in the event of failure of control</w:t>
            </w:r>
          </w:p>
          <w:p w:rsidR="00000000" w:rsidRPr="0049467D" w:rsidP="0049467D">
            <w:pPr>
              <w:pStyle w:val="ListBullet"/>
            </w:pPr>
            <w:r w:rsidRPr="0049467D">
              <w:t>types and causes of acute and chronic chemica</w:t>
            </w:r>
            <w:r w:rsidRPr="0049467D">
              <w:t>l food borne illness</w:t>
            </w:r>
          </w:p>
          <w:p w:rsidR="00000000" w:rsidRPr="0049467D" w:rsidP="0049467D">
            <w:pPr>
              <w:pStyle w:val="ListBullet"/>
            </w:pPr>
            <w:r w:rsidRPr="0049467D">
              <w:t>the food safety and legal impact of chemical contamination, including residual agricultural and environmental chemicals, residual industrial (including cleaning) chemicals, and chemical contamination as a result of packaging methods an</w:t>
            </w:r>
            <w:r w:rsidRPr="0049467D">
              <w:t>d materials</w:t>
            </w:r>
          </w:p>
          <w:p w:rsidR="00000000" w:rsidRPr="0049467D" w:rsidP="0049467D">
            <w:pPr>
              <w:pStyle w:val="ListBullet"/>
            </w:pPr>
            <w:r w:rsidRPr="0049467D">
              <w:t>physical hazards that pose a food safety risk</w:t>
            </w:r>
          </w:p>
          <w:p w:rsidR="00000000" w:rsidRPr="0049467D" w:rsidP="0049467D">
            <w:pPr>
              <w:pStyle w:val="ListBullet"/>
            </w:pPr>
            <w:r w:rsidRPr="0049467D">
              <w:t>common control methods to eliminate or reduce the risk of chemical or physical food-borne illness to acceptable levels for each common form of chemical and physical food safety hazard, including:</w:t>
            </w:r>
          </w:p>
          <w:p w:rsidR="00000000" w:rsidRPr="0049467D" w:rsidP="0049467D">
            <w:pPr>
              <w:pStyle w:val="ListBullet2"/>
            </w:pPr>
            <w:r w:rsidRPr="0049467D">
              <w:t>c</w:t>
            </w:r>
            <w:r w:rsidRPr="0049467D">
              <w:t>hemicals that pose a food safety risk</w:t>
            </w:r>
          </w:p>
          <w:p w:rsidR="00000000" w:rsidRPr="0049467D" w:rsidP="0049467D">
            <w:pPr>
              <w:pStyle w:val="ListBullet2"/>
            </w:pPr>
            <w:r w:rsidRPr="0049467D">
              <w:t>common food allergens</w:t>
            </w:r>
          </w:p>
          <w:p w:rsidR="00000000" w:rsidRPr="0049467D" w:rsidP="0049467D">
            <w:pPr>
              <w:pStyle w:val="ListBullet2"/>
            </w:pPr>
            <w:r w:rsidRPr="0049467D">
              <w:t>physical hazards</w:t>
            </w:r>
          </w:p>
          <w:p w:rsidR="00000000" w:rsidRPr="0049467D" w:rsidP="0049467D">
            <w:pPr>
              <w:pStyle w:val="ListBullet"/>
            </w:pPr>
            <w:r w:rsidRPr="0049467D">
              <w:t xml:space="preserve">the role and requirements of prerequisite programs and procedures to eliminate, prevent or reduce biological, chemical and physical food safety hazards to acceptable levels  </w:t>
            </w: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10" w:name="O_74136"/>
      <w:bookmarkEnd w:id="10"/>
      <w:r w:rsidRPr="0049467D">
        <w:t>Evidence Guide</w:t>
      </w:r>
    </w:p>
    <w:tbl>
      <w:tblPr>
        <w:tblW w:w="9570" w:type="dxa"/>
        <w:tblLayout w:type="fixed"/>
        <w:tblCellMar>
          <w:left w:w="62" w:type="dxa"/>
          <w:right w:w="62" w:type="dxa"/>
        </w:tblCellMar>
        <w:tblLook w:val="0000"/>
      </w:tblPr>
      <w:tblGrid>
        <w:gridCol w:w="3908"/>
        <w:gridCol w:w="5662"/>
      </w:tblGrid>
      <w:tr w:rsidTr="00EB64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EVIDENCE GUIDE</w:t>
            </w:r>
          </w:p>
        </w:tc>
      </w:tr>
      <w:tr w:rsidTr="00EB64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 xml:space="preserve">The Evidence Guide provides advice on assessment and must be read in conjunction with the performance criteria, required skills and knowledge, </w:t>
            </w:r>
            <w:r w:rsidRPr="0049467D">
              <w:t>range statement and the Assessment Guidelines for the Training Package.</w:t>
            </w:r>
          </w:p>
        </w:tc>
      </w:tr>
      <w:tr w:rsidTr="00EB6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A person who demonstrates competency in this unit must be able to establish or validate specific control measures in a food safety program based on demonstrati</w:t>
            </w:r>
            <w:r w:rsidRPr="0049467D">
              <w:t xml:space="preserve">on of the identification, evaluation and control of food safety hazards. </w:t>
            </w:r>
          </w:p>
          <w:p w:rsidR="00000000" w:rsidP="0049467D">
            <w:pPr>
              <w:pStyle w:val="BodyText"/>
              <w:rPr>
                <w:lang w:val="en-NZ"/>
              </w:rPr>
            </w:pPr>
            <w:r w:rsidRPr="0049467D">
              <w:t>Assessment must be carried out in a manner that recognises the cultural and literacy requirements of the assessee and is appropriate to the work performed. Competency in this unit mu</w:t>
            </w:r>
            <w:r w:rsidRPr="0049467D">
              <w:t>st be achieved in accordance with food safety standards and regulations.</w:t>
            </w:r>
          </w:p>
        </w:tc>
      </w:tr>
      <w:tr w:rsidTr="00EB6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Evidence of ability to:</w:t>
            </w:r>
          </w:p>
          <w:p w:rsidR="00000000" w:rsidRPr="0049467D" w:rsidP="0049467D">
            <w:pPr>
              <w:pStyle w:val="ListBullet"/>
            </w:pPr>
            <w:r w:rsidRPr="0049467D">
              <w:t>select a food supply chain and identify:</w:t>
            </w:r>
          </w:p>
          <w:p w:rsidR="00000000" w:rsidRPr="0049467D" w:rsidP="0049467D">
            <w:pPr>
              <w:pStyle w:val="ListBullet2"/>
            </w:pPr>
            <w:r w:rsidRPr="0049467D">
              <w:t>known biological food safety hazards that could occur across the chain and could present a risk in food at the point of consumption</w:t>
            </w:r>
          </w:p>
          <w:p w:rsidR="00000000" w:rsidRPr="0049467D" w:rsidP="0049467D">
            <w:pPr>
              <w:pStyle w:val="ListBullet2"/>
            </w:pPr>
            <w:r w:rsidRPr="0049467D">
              <w:t>likely patterns of growth and transmission from source of contamination to onset of consumer symptoms for pathogens likely t</w:t>
            </w:r>
            <w:r w:rsidRPr="0049467D">
              <w:t>o occur in the supply chain, including threshold levels</w:t>
            </w:r>
          </w:p>
          <w:p w:rsidR="00000000" w:rsidRPr="0049467D" w:rsidP="0049467D">
            <w:pPr>
              <w:pStyle w:val="ListBullet2"/>
            </w:pPr>
            <w:r w:rsidRPr="0049467D">
              <w:t>sources of chemical and physical contamination that could present a food safety risk at the time of food consumption, across the chain</w:t>
            </w:r>
          </w:p>
          <w:p w:rsidR="00000000" w:rsidRPr="0049467D" w:rsidP="0049467D">
            <w:pPr>
              <w:pStyle w:val="ListBullet2"/>
            </w:pPr>
            <w:r w:rsidRPr="0049467D">
              <w:t>impact and indicators of the presence of biological or chemical f</w:t>
            </w:r>
            <w:r w:rsidRPr="0049467D">
              <w:t>ood safety hazards throughout the food chain</w:t>
            </w:r>
          </w:p>
          <w:p w:rsidR="00000000" w:rsidRPr="0049467D" w:rsidP="0049467D">
            <w:pPr>
              <w:pStyle w:val="ListBullet2"/>
            </w:pPr>
            <w:r w:rsidRPr="0049467D">
              <w:t>acceptable levels of contamination. These may be established by reference to relevant legislation and/or reference to system requirements</w:t>
            </w:r>
          </w:p>
          <w:p w:rsidR="00000000" w:rsidP="0049467D">
            <w:pPr>
              <w:pStyle w:val="ListBullet"/>
              <w:rPr>
                <w:lang w:val="en-NZ"/>
              </w:rPr>
            </w:pPr>
            <w:r w:rsidRPr="0049467D">
              <w:t>select one stage in the food supply chain (which must be a medium or hig</w:t>
            </w:r>
            <w:r w:rsidRPr="0049467D">
              <w:t>h risk business or process) and establish or validate control measures and verification records and procedures.</w:t>
            </w:r>
          </w:p>
        </w:tc>
      </w:tr>
      <w:tr w:rsidTr="00EB6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 xml:space="preserve">Assessment may occur in a real or simulated food business context where the simulated context provides access to food safety programs for a multi-staged food supply chain which includes the point of delivery to the consumer. </w:t>
            </w:r>
          </w:p>
          <w:p w:rsidR="00000000" w:rsidP="0049467D">
            <w:pPr>
              <w:pStyle w:val="BodyText"/>
              <w:rPr>
                <w:lang w:val="en-NZ"/>
              </w:rPr>
            </w:pPr>
            <w:r w:rsidRPr="0049467D">
              <w:t>The selected supply chain must</w:t>
            </w:r>
            <w:r w:rsidRPr="0049467D">
              <w:t xml:space="preserve"> include at least one medium or high risk business and/or process and provide opportunity to apply a depth and breadth of food safety knowledge.  </w:t>
            </w:r>
          </w:p>
        </w:tc>
      </w:tr>
      <w:tr w:rsidTr="00EB6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The following assessment methods should be considered to gather sufficient and valid ev</w:t>
            </w:r>
            <w:r w:rsidRPr="0049467D">
              <w:t>idence of competency:</w:t>
            </w:r>
          </w:p>
          <w:p w:rsidR="00000000" w:rsidRPr="0049467D" w:rsidP="0049467D">
            <w:pPr>
              <w:pStyle w:val="ListBullet"/>
            </w:pPr>
            <w:r w:rsidRPr="0049467D">
              <w:t xml:space="preserve">observation and documentation showing the identification of critical aspects of a food chain </w:t>
            </w:r>
          </w:p>
          <w:p w:rsidR="00000000" w:rsidRPr="0049467D" w:rsidP="0049467D">
            <w:pPr>
              <w:pStyle w:val="ListBullet"/>
            </w:pPr>
            <w:r w:rsidRPr="0049467D">
              <w:t xml:space="preserve">questioning to test the level and application of knowledge </w:t>
            </w:r>
          </w:p>
          <w:p w:rsidR="00000000" w:rsidP="0049467D">
            <w:pPr>
              <w:pStyle w:val="ListBullet"/>
              <w:rPr>
                <w:lang w:val="en-NZ"/>
              </w:rPr>
            </w:pPr>
            <w:r w:rsidRPr="0049467D">
              <w:t>workplace example or scenario to produce validated control measures and verific</w:t>
            </w:r>
            <w:r w:rsidRPr="0049467D">
              <w:t>ation records and procedures for food safety hazards.</w:t>
            </w:r>
          </w:p>
        </w:tc>
      </w:tr>
      <w:tr w:rsidTr="00EB6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To ensure consistency in one's performance, competency should be demonstrated on more than one occasion over a period of time in order to cover a variety of circumst</w:t>
            </w:r>
            <w:r w:rsidRPr="0049467D">
              <w:t>ances, cases and responsibilities, and where possible, over a number of assessment activities.</w:t>
            </w: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11" w:name="O_74137"/>
      <w:bookmarkEnd w:id="11"/>
      <w:r w:rsidRPr="0049467D">
        <w:t>Range Statement</w:t>
      </w:r>
    </w:p>
    <w:tbl>
      <w:tblPr>
        <w:tblW w:w="0" w:type="auto"/>
        <w:tblLayout w:type="fixed"/>
        <w:tblCellMar>
          <w:left w:w="62" w:type="dxa"/>
          <w:right w:w="62" w:type="dxa"/>
        </w:tblCellMar>
        <w:tblLook w:val="0000"/>
      </w:tblPr>
      <w:tblGrid>
        <w:gridCol w:w="3608"/>
        <w:gridCol w:w="4914"/>
      </w:tblGrid>
      <w:tr w:rsidTr="00EB64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RANGE STATEMENT</w:t>
            </w:r>
          </w:p>
        </w:tc>
      </w:tr>
      <w:tr w:rsidTr="00EB64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The range statement relates to the unit of competency as a whole. It allows for different work environments and situations that may affect performance. Bold italicised wording, if used in the performance criteria, is detailed below. Essential operating con</w:t>
            </w:r>
            <w:r w:rsidRPr="0049467D">
              <w:t>ditions that may be present with training and assessment (depending on the work situation, needs of the candidate, accessibility of the item, and local industry and regional contexts) may also be included.</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Licensing</w:t>
            </w:r>
            <w:r w:rsidRPr="0049467D">
              <w:t>/</w:t>
            </w:r>
            <w:r w:rsidRPr="0049467D">
              <w:rPr>
                <w:rStyle w:val="SpecialBold"/>
              </w:rPr>
              <w:t>certification requirements</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Licensing and registration arrangements are determined by system owners</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Food safety hazards</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 xml:space="preserve">A food safety hazard is a biological, chemical, or physical agent in, or condition of, food with the potential to cause an adverse health effect </w:t>
            </w:r>
            <w:r w:rsidRPr="0049467D">
              <w:t>in humans (defined in 'Hazard Analysis and Critical Control Point System and Guidelines for its Application', Codex Alimentarius Commission)</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Biological food safety hazards</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Common biological food safety hazards include but are not limited to:</w:t>
            </w:r>
          </w:p>
          <w:p w:rsidR="00000000" w:rsidRPr="0049467D" w:rsidP="0049467D">
            <w:pPr>
              <w:pStyle w:val="ListBullet"/>
            </w:pPr>
            <w:r w:rsidRPr="0049467D">
              <w:t>Salmonella s</w:t>
            </w:r>
            <w:r w:rsidRPr="0049467D">
              <w:t>pp</w:t>
            </w:r>
          </w:p>
          <w:p w:rsidR="00000000" w:rsidRPr="0049467D" w:rsidP="0049467D">
            <w:pPr>
              <w:pStyle w:val="ListBullet"/>
            </w:pPr>
            <w:r w:rsidRPr="0049467D">
              <w:t>Campylobacter jejuni</w:t>
            </w:r>
          </w:p>
          <w:p w:rsidR="00000000" w:rsidRPr="0049467D" w:rsidP="0049467D">
            <w:pPr>
              <w:pStyle w:val="ListBullet"/>
            </w:pPr>
            <w:r w:rsidRPr="0049467D">
              <w:t>Bacillus cereus</w:t>
            </w:r>
          </w:p>
          <w:p w:rsidR="00000000" w:rsidRPr="0049467D" w:rsidP="0049467D">
            <w:pPr>
              <w:pStyle w:val="ListBullet"/>
            </w:pPr>
            <w:r w:rsidRPr="0049467D">
              <w:t>Clostridium perfringens</w:t>
            </w:r>
          </w:p>
          <w:p w:rsidR="00000000" w:rsidRPr="0049467D" w:rsidP="0049467D">
            <w:pPr>
              <w:pStyle w:val="ListBullet"/>
            </w:pPr>
            <w:r w:rsidRPr="0049467D">
              <w:t>Clostridium botulinum</w:t>
            </w:r>
          </w:p>
          <w:p w:rsidR="00000000" w:rsidRPr="0049467D" w:rsidP="0049467D">
            <w:pPr>
              <w:pStyle w:val="ListBullet"/>
            </w:pPr>
            <w:r w:rsidRPr="0049467D">
              <w:t xml:space="preserve">Cryptosporidium </w:t>
            </w:r>
          </w:p>
          <w:p w:rsidR="00000000" w:rsidRPr="0049467D" w:rsidP="0049467D">
            <w:pPr>
              <w:pStyle w:val="ListBullet"/>
            </w:pPr>
            <w:r w:rsidRPr="0049467D">
              <w:t xml:space="preserve">Pathogenic escherichia coli </w:t>
            </w:r>
          </w:p>
          <w:p w:rsidR="00000000" w:rsidRPr="0049467D" w:rsidP="0049467D">
            <w:pPr>
              <w:pStyle w:val="ListBullet"/>
            </w:pPr>
            <w:r w:rsidRPr="0049467D">
              <w:t>Giardia</w:t>
            </w:r>
          </w:p>
          <w:p w:rsidR="00000000" w:rsidRPr="0049467D" w:rsidP="0049467D">
            <w:pPr>
              <w:pStyle w:val="ListBullet"/>
            </w:pPr>
            <w:r w:rsidRPr="0049467D">
              <w:t>Listeria moncytogenes</w:t>
            </w:r>
          </w:p>
          <w:p w:rsidR="00000000" w:rsidRPr="0049467D" w:rsidP="0049467D">
            <w:pPr>
              <w:pStyle w:val="ListBullet"/>
            </w:pPr>
            <w:r w:rsidRPr="0049467D">
              <w:t>Shigella spp</w:t>
            </w:r>
          </w:p>
          <w:p w:rsidR="00000000" w:rsidRPr="0049467D" w:rsidP="0049467D">
            <w:pPr>
              <w:pStyle w:val="ListBullet"/>
            </w:pPr>
            <w:r w:rsidRPr="0049467D">
              <w:t>Staphylococcus aureus</w:t>
            </w:r>
          </w:p>
          <w:p w:rsidR="00000000" w:rsidRPr="0049467D" w:rsidP="0049467D">
            <w:pPr>
              <w:pStyle w:val="ListBullet"/>
            </w:pPr>
            <w:r w:rsidRPr="0049467D">
              <w:t>Vibrio parahaemolyticus</w:t>
            </w:r>
          </w:p>
          <w:p w:rsidR="00000000" w:rsidRPr="0049467D" w:rsidP="0049467D">
            <w:pPr>
              <w:pStyle w:val="ListBullet"/>
            </w:pPr>
            <w:r w:rsidRPr="0049467D">
              <w:t>Yersinia enterocolitica</w:t>
            </w:r>
          </w:p>
          <w:p w:rsidR="00000000" w:rsidRPr="0049467D" w:rsidP="0049467D">
            <w:pPr>
              <w:pStyle w:val="ListBullet"/>
            </w:pPr>
            <w:r w:rsidRPr="0049467D">
              <w:t>Hepatitis A virus</w:t>
            </w:r>
          </w:p>
          <w:p w:rsidR="00000000" w:rsidRPr="0049467D" w:rsidP="0049467D">
            <w:pPr>
              <w:pStyle w:val="ListBullet"/>
            </w:pPr>
            <w:r w:rsidRPr="0049467D">
              <w:t>Norwalk virus</w:t>
            </w:r>
          </w:p>
          <w:p w:rsidR="00000000" w:rsidRPr="0049467D" w:rsidP="0049467D">
            <w:pPr>
              <w:pStyle w:val="BodyText"/>
            </w:pPr>
            <w:r w:rsidRPr="0049467D">
              <w:t>Classifications by type of micro-organism include:</w:t>
            </w:r>
          </w:p>
          <w:p w:rsidR="00000000" w:rsidRPr="0049467D" w:rsidP="0049467D">
            <w:pPr>
              <w:pStyle w:val="ListBullet"/>
            </w:pPr>
            <w:r w:rsidRPr="0049467D">
              <w:t>bacteria</w:t>
            </w:r>
          </w:p>
          <w:p w:rsidR="00000000" w:rsidRPr="0049467D" w:rsidP="0049467D">
            <w:pPr>
              <w:pStyle w:val="ListBullet"/>
            </w:pPr>
            <w:r w:rsidRPr="0049467D">
              <w:t>viruses</w:t>
            </w:r>
          </w:p>
          <w:p w:rsidR="00000000" w:rsidRPr="0049467D" w:rsidP="0049467D">
            <w:pPr>
              <w:pStyle w:val="ListBullet"/>
            </w:pPr>
            <w:r w:rsidRPr="0049467D">
              <w:t>moulds/fungi</w:t>
            </w:r>
          </w:p>
          <w:p w:rsidR="00000000" w:rsidRPr="0049467D" w:rsidP="0049467D">
            <w:pPr>
              <w:pStyle w:val="ListBullet"/>
            </w:pPr>
            <w:r w:rsidRPr="0049467D">
              <w:t>parasites</w:t>
            </w:r>
          </w:p>
          <w:p w:rsidR="00000000" w:rsidP="0049467D">
            <w:pPr>
              <w:pStyle w:val="ListBullet"/>
              <w:rPr>
                <w:lang w:val="en-NZ"/>
              </w:rPr>
            </w:pPr>
            <w:r w:rsidRPr="0049467D">
              <w:t>algae</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Chemical food safety hazards</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Common origins of chemical contamination may include:</w:t>
            </w:r>
          </w:p>
          <w:p w:rsidR="00000000" w:rsidRPr="0049467D" w:rsidP="0049467D">
            <w:pPr>
              <w:pStyle w:val="ListBullet"/>
            </w:pPr>
            <w:r w:rsidRPr="0049467D">
              <w:t>cleaning chemicals</w:t>
            </w:r>
          </w:p>
          <w:p w:rsidR="00000000" w:rsidRPr="0049467D" w:rsidP="0049467D">
            <w:pPr>
              <w:pStyle w:val="ListBullet"/>
            </w:pPr>
            <w:r w:rsidRPr="0049467D">
              <w:t>pesticides</w:t>
            </w:r>
          </w:p>
          <w:p w:rsidR="00000000" w:rsidRPr="0049467D" w:rsidP="0049467D">
            <w:pPr>
              <w:pStyle w:val="ListBullet"/>
            </w:pPr>
            <w:r w:rsidRPr="0049467D">
              <w:t>veterinary residues</w:t>
            </w:r>
          </w:p>
          <w:p w:rsidR="00000000" w:rsidRPr="0049467D" w:rsidP="0049467D">
            <w:pPr>
              <w:pStyle w:val="ListBullet"/>
            </w:pPr>
            <w:r w:rsidRPr="0049467D">
              <w:t>chemical additives</w:t>
            </w:r>
          </w:p>
          <w:p w:rsidR="00000000" w:rsidRPr="0049467D" w:rsidP="0049467D">
            <w:pPr>
              <w:pStyle w:val="ListBullet"/>
            </w:pPr>
            <w:r w:rsidRPr="0049467D">
              <w:t>allergenic substances</w:t>
            </w:r>
          </w:p>
          <w:p w:rsidR="00000000" w:rsidRPr="0049467D" w:rsidP="0049467D">
            <w:pPr>
              <w:pStyle w:val="ListBullet"/>
            </w:pPr>
            <w:r w:rsidRPr="0049467D">
              <w:t>toxic metals</w:t>
            </w:r>
          </w:p>
          <w:p w:rsidR="00000000" w:rsidRPr="0049467D" w:rsidP="0049467D">
            <w:pPr>
              <w:pStyle w:val="ListBullet"/>
            </w:pPr>
            <w:r w:rsidRPr="0049467D">
              <w:t>nitrites, nitrates and N-nitroso compounds</w:t>
            </w:r>
          </w:p>
          <w:p w:rsidR="00000000" w:rsidRPr="0049467D" w:rsidP="0049467D">
            <w:pPr>
              <w:pStyle w:val="ListBullet"/>
            </w:pPr>
            <w:r w:rsidRPr="0049467D">
              <w:t>polychlorinated biphenyls (PCBs)</w:t>
            </w:r>
          </w:p>
          <w:p w:rsidR="00000000" w:rsidRPr="0049467D" w:rsidP="0049467D">
            <w:pPr>
              <w:pStyle w:val="ListBullet"/>
            </w:pPr>
            <w:r w:rsidRPr="0049467D">
              <w:t>plasticizers and packaging migration</w:t>
            </w:r>
          </w:p>
          <w:p w:rsidR="00000000" w:rsidRPr="0049467D" w:rsidP="0049467D">
            <w:pPr>
              <w:pStyle w:val="ListBullet"/>
            </w:pPr>
            <w:r w:rsidRPr="0049467D">
              <w:t>phytotoxins</w:t>
            </w:r>
          </w:p>
          <w:p w:rsidR="00000000" w:rsidP="0049467D">
            <w:pPr>
              <w:pStyle w:val="ListBullet"/>
              <w:rPr>
                <w:lang w:val="en-NZ"/>
              </w:rPr>
            </w:pPr>
            <w:r w:rsidRPr="0049467D">
              <w:t>zootoxins</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Physical food safety hazards</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Physical food saf</w:t>
            </w:r>
            <w:r w:rsidRPr="0049467D">
              <w:t>ety hazards refer to objects not normally found in food which may cause illness or injury to the consumer</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Acceptable levels</w:t>
            </w:r>
            <w:r w:rsidRPr="0049467D">
              <w:t xml:space="preserve"> </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Acceptable levels define the level of a particular hazard in the end product that is acceptable to ensure food safety. Acceptable levels are typically defined by:</w:t>
            </w:r>
          </w:p>
          <w:p w:rsidR="00000000" w:rsidRPr="0049467D" w:rsidP="0049467D">
            <w:pPr>
              <w:pStyle w:val="ListBullet"/>
            </w:pPr>
            <w:r w:rsidRPr="0049467D">
              <w:t>the Food Standards Code</w:t>
            </w:r>
          </w:p>
          <w:p w:rsidR="00000000" w:rsidRPr="0049467D" w:rsidP="0049467D">
            <w:pPr>
              <w:pStyle w:val="ListBullet"/>
            </w:pPr>
            <w:r w:rsidRPr="0049467D">
              <w:t xml:space="preserve">commonwealth, state or territory legislation or codes </w:t>
            </w:r>
          </w:p>
          <w:p w:rsidR="00000000" w:rsidRPr="0049467D" w:rsidP="0049467D">
            <w:pPr>
              <w:pStyle w:val="ListBullet"/>
            </w:pPr>
            <w:r w:rsidRPr="0049467D">
              <w:t>industry code</w:t>
            </w:r>
            <w:r w:rsidRPr="0049467D">
              <w:t>s of practice</w:t>
            </w:r>
          </w:p>
          <w:p w:rsidR="00000000" w:rsidRPr="0049467D" w:rsidP="0049467D">
            <w:pPr>
              <w:pStyle w:val="ListBullet"/>
            </w:pPr>
            <w:r w:rsidRPr="0049467D">
              <w:t>international protocols (CODEX Alimentarius)</w:t>
            </w:r>
          </w:p>
          <w:p w:rsidR="00000000" w:rsidP="0049467D">
            <w:pPr>
              <w:pStyle w:val="ListBullet"/>
              <w:rPr>
                <w:lang w:val="en-NZ"/>
              </w:rPr>
            </w:pPr>
            <w:r w:rsidRPr="0049467D">
              <w:t>customer food safety requirements (including intended use)</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Prerequisite programs</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Prerequisite programs are also referred to as support programs, such as Good Manufacturing Practice (GMP), Good Agr</w:t>
            </w:r>
            <w:r w:rsidRPr="0049467D">
              <w:t>icultural Practice (GAP) and Good Hygiene Practice (GHP).</w:t>
            </w:r>
          </w:p>
          <w:p w:rsidR="00000000" w:rsidRPr="0049467D" w:rsidP="0049467D">
            <w:pPr>
              <w:pStyle w:val="BodyText"/>
            </w:pPr>
            <w:r w:rsidRPr="0049467D">
              <w:t xml:space="preserve">Prerequisite programs can be divided into two categories. </w:t>
            </w:r>
          </w:p>
          <w:p w:rsidR="00000000" w:rsidRPr="0049467D" w:rsidP="0049467D">
            <w:pPr>
              <w:pStyle w:val="BodyText"/>
            </w:pPr>
            <w:r w:rsidRPr="0049467D">
              <w:rPr>
                <w:rStyle w:val="SpecialBold"/>
              </w:rPr>
              <w:t>Infrastructure and maintenance programs</w:t>
            </w:r>
            <w:r w:rsidRPr="0049467D">
              <w:t>. These may include:</w:t>
            </w:r>
          </w:p>
          <w:p w:rsidR="00000000" w:rsidRPr="0049467D" w:rsidP="0049467D">
            <w:pPr>
              <w:pStyle w:val="ListBullet"/>
            </w:pPr>
            <w:r w:rsidRPr="0049467D">
              <w:t>layout, design and construction of buildings and facilities</w:t>
            </w:r>
          </w:p>
          <w:p w:rsidR="00000000" w:rsidRPr="0049467D" w:rsidP="0049467D">
            <w:pPr>
              <w:pStyle w:val="ListBullet"/>
            </w:pPr>
            <w:r w:rsidRPr="0049467D">
              <w:t>supplies of air, w</w:t>
            </w:r>
            <w:r w:rsidRPr="0049467D">
              <w:t>ater, energy and other utilities</w:t>
            </w:r>
          </w:p>
          <w:p w:rsidR="00000000" w:rsidRPr="0049467D" w:rsidP="0049467D">
            <w:pPr>
              <w:pStyle w:val="ListBullet"/>
            </w:pPr>
            <w:r w:rsidRPr="0049467D">
              <w:t>equipment, including preventative maintenance, sanitary design and accessibility for maintenance and cleaning</w:t>
            </w:r>
          </w:p>
          <w:p w:rsidR="00000000" w:rsidRPr="0049467D" w:rsidP="0049467D">
            <w:pPr>
              <w:pStyle w:val="ListBullet"/>
            </w:pPr>
            <w:r w:rsidRPr="0049467D">
              <w:t>support services, including waste and sewage disposal</w:t>
            </w:r>
          </w:p>
          <w:p w:rsidR="00000000" w:rsidRPr="0049467D" w:rsidP="0049467D">
            <w:pPr>
              <w:pStyle w:val="BodyText"/>
            </w:pPr>
            <w:r w:rsidRPr="0049467D">
              <w:rPr>
                <w:rStyle w:val="SpecialBold"/>
              </w:rPr>
              <w:t>Operational prerequisite programs</w:t>
            </w:r>
            <w:r w:rsidRPr="0049467D">
              <w:t>. These may include:</w:t>
            </w:r>
          </w:p>
          <w:p w:rsidR="00000000" w:rsidRPr="0049467D" w:rsidP="0049467D">
            <w:pPr>
              <w:pStyle w:val="ListBullet"/>
            </w:pPr>
            <w:r w:rsidRPr="0049467D">
              <w:t>personal hygiene</w:t>
            </w:r>
          </w:p>
          <w:p w:rsidR="00000000" w:rsidRPr="0049467D" w:rsidP="0049467D">
            <w:pPr>
              <w:pStyle w:val="ListBullet"/>
            </w:pPr>
            <w:r w:rsidRPr="0049467D">
              <w:t xml:space="preserve">cleaning and sanitation </w:t>
            </w:r>
          </w:p>
          <w:p w:rsidR="00000000" w:rsidRPr="0049467D" w:rsidP="0049467D">
            <w:pPr>
              <w:pStyle w:val="ListBullet"/>
            </w:pPr>
            <w:r w:rsidRPr="0049467D">
              <w:t>pest control</w:t>
            </w:r>
          </w:p>
          <w:p w:rsidR="00000000" w:rsidRPr="0049467D" w:rsidP="0049467D">
            <w:pPr>
              <w:pStyle w:val="ListBullet"/>
            </w:pPr>
            <w:r w:rsidRPr="0049467D">
              <w:t>measures for the prevention of cross-contamination</w:t>
            </w:r>
          </w:p>
          <w:p w:rsidR="00000000" w:rsidRPr="0049467D" w:rsidP="0049467D">
            <w:pPr>
              <w:pStyle w:val="ListBullet"/>
            </w:pPr>
            <w:r w:rsidRPr="0049467D">
              <w:t>packaging and labelling procedures</w:t>
            </w:r>
          </w:p>
          <w:p w:rsidR="00000000" w:rsidRPr="0049467D" w:rsidP="0049467D">
            <w:pPr>
              <w:pStyle w:val="ListBullet"/>
            </w:pPr>
            <w:r w:rsidRPr="0049467D">
              <w:t>supplier assurance</w:t>
            </w:r>
          </w:p>
          <w:p w:rsidR="00000000" w:rsidRPr="0049467D" w:rsidP="0049467D">
            <w:pPr>
              <w:pStyle w:val="ListBullet"/>
            </w:pPr>
            <w:r w:rsidRPr="0049467D">
              <w:t>chemical storage</w:t>
            </w:r>
          </w:p>
          <w:p w:rsidR="00000000" w:rsidRPr="0049467D" w:rsidP="0049467D">
            <w:pPr>
              <w:pStyle w:val="ListBullet"/>
            </w:pPr>
            <w:r w:rsidRPr="0049467D">
              <w:t xml:space="preserve">employee training </w:t>
            </w:r>
          </w:p>
          <w:p w:rsidR="00000000" w:rsidRPr="0049467D" w:rsidP="0049467D">
            <w:pPr>
              <w:pStyle w:val="ListBullet"/>
            </w:pPr>
            <w:r w:rsidRPr="0049467D">
              <w:t>maintenance</w:t>
            </w:r>
          </w:p>
          <w:p w:rsidR="00000000" w:rsidRPr="0049467D" w:rsidP="0049467D">
            <w:pPr>
              <w:pStyle w:val="ListBullet"/>
            </w:pPr>
            <w:r w:rsidRPr="0049467D">
              <w:t>calibration</w:t>
            </w:r>
          </w:p>
          <w:p w:rsidR="00000000" w:rsidRPr="0049467D" w:rsidP="0049467D">
            <w:pPr>
              <w:pStyle w:val="ListBullet"/>
            </w:pPr>
            <w:r w:rsidRPr="0049467D">
              <w:t>document control</w:t>
            </w:r>
          </w:p>
          <w:p w:rsidR="00000000" w:rsidRPr="0049467D" w:rsidP="0049467D">
            <w:pPr>
              <w:pStyle w:val="ListBullet"/>
            </w:pPr>
            <w:r w:rsidRPr="0049467D">
              <w:t>internal audit prog</w:t>
            </w:r>
            <w:r w:rsidRPr="0049467D">
              <w:t>rams</w:t>
            </w:r>
          </w:p>
          <w:p w:rsidR="00000000" w:rsidRPr="0049467D" w:rsidP="0049467D">
            <w:pPr>
              <w:pStyle w:val="ListBullet"/>
            </w:pPr>
            <w:r w:rsidRPr="0049467D">
              <w:t>traceability and recall programs</w:t>
            </w:r>
          </w:p>
          <w:p w:rsidR="00000000" w:rsidRPr="0049467D" w:rsidP="0049467D">
            <w:pPr>
              <w:pStyle w:val="ListBullet"/>
            </w:pPr>
            <w:r w:rsidRPr="0049467D">
              <w:t>on-farm food safety schemes</w:t>
            </w:r>
          </w:p>
          <w:p w:rsidR="00000000" w:rsidP="0049467D">
            <w:pPr>
              <w:pStyle w:val="ListBullet"/>
              <w:rPr>
                <w:lang w:val="en-NZ"/>
              </w:rPr>
            </w:pPr>
            <w:r w:rsidRPr="0049467D">
              <w:t>inspecting and testing regimes, including analytical and microbiological testing</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Critical control point</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Critical control point is a step at which control can be applied and is essential to prevent or eliminate a food safety hazard or reduce it to an acceptable level</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Critical limit</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Critical limit refers to criterion which separates acceptability from unaccep</w:t>
            </w:r>
            <w:r w:rsidRPr="0049467D">
              <w:t>tability</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Food supply chain</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Food supply chain refers to a sequence of stages and operations involved in the production, processing, distribution and handling of food from primary production to consumption</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Growth requirements</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Factors which influence the gr</w:t>
            </w:r>
            <w:r w:rsidRPr="0049467D">
              <w:t>owth of pathogenic micro-organisms may include:</w:t>
            </w:r>
          </w:p>
          <w:p w:rsidR="00000000" w:rsidRPr="0049467D" w:rsidP="0049467D">
            <w:pPr>
              <w:pStyle w:val="ListBullet"/>
            </w:pPr>
            <w:r w:rsidRPr="0049467D">
              <w:t>temperature</w:t>
            </w:r>
          </w:p>
          <w:p w:rsidR="00000000" w:rsidRPr="0049467D" w:rsidP="0049467D">
            <w:pPr>
              <w:pStyle w:val="ListBullet"/>
            </w:pPr>
            <w:r w:rsidRPr="0049467D">
              <w:t>water activity</w:t>
            </w:r>
          </w:p>
          <w:p w:rsidR="00000000" w:rsidRPr="0049467D" w:rsidP="0049467D">
            <w:pPr>
              <w:pStyle w:val="ListBullet"/>
            </w:pPr>
            <w:r w:rsidRPr="0049467D">
              <w:t>gases</w:t>
            </w:r>
          </w:p>
          <w:p w:rsidR="00000000" w:rsidRPr="0049467D" w:rsidP="0049467D">
            <w:pPr>
              <w:pStyle w:val="ListBullet"/>
            </w:pPr>
            <w:r w:rsidRPr="0049467D">
              <w:t>pH</w:t>
            </w:r>
          </w:p>
          <w:p w:rsidR="00000000" w:rsidRPr="0049467D" w:rsidP="0049467D">
            <w:pPr>
              <w:pStyle w:val="ListBullet"/>
            </w:pPr>
            <w:r w:rsidRPr="0049467D">
              <w:t>time</w:t>
            </w:r>
          </w:p>
          <w:p w:rsidR="00000000" w:rsidRPr="0049467D" w:rsidP="0049467D">
            <w:pPr>
              <w:pStyle w:val="ListBullet"/>
            </w:pPr>
            <w:r w:rsidRPr="0049467D">
              <w:t>moisture</w:t>
            </w:r>
          </w:p>
          <w:p w:rsidR="00000000" w:rsidP="0049467D">
            <w:pPr>
              <w:pStyle w:val="ListBullet"/>
              <w:rPr>
                <w:lang w:val="en-NZ"/>
              </w:rPr>
            </w:pPr>
            <w:r w:rsidRPr="0049467D">
              <w:t>nutrients</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Validation</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t>Validation refers to obtaining evidence to confirm that a HACCP-based food safety program is complete and effective and will deliver the expected food safety outcomes</w:t>
            </w:r>
          </w:p>
        </w:tc>
      </w:tr>
      <w:tr w:rsidTr="00EB64A4">
        <w:tblPrEx>
          <w:tblW w:w="0" w:type="auto"/>
          <w:tblLayout w:type="fixed"/>
          <w:tblCellMar>
            <w:left w:w="62" w:type="dxa"/>
            <w:right w:w="62" w:type="dxa"/>
          </w:tblCellMar>
          <w:tblLook w:val="0000"/>
        </w:tblPrEx>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Validation evidence</w:t>
            </w:r>
          </w:p>
        </w:tc>
        <w:tc>
          <w:tcPr>
            <w:tcW w:w="4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Validation evidence confirms that control measures are capable of be</w:t>
            </w:r>
            <w:r w:rsidRPr="0049467D">
              <w:t>ing consistently effective and may include the application of:</w:t>
            </w:r>
          </w:p>
          <w:p w:rsidR="00000000" w:rsidRPr="0049467D" w:rsidP="0049467D">
            <w:pPr>
              <w:pStyle w:val="ListBullet"/>
            </w:pPr>
            <w:r w:rsidRPr="0049467D">
              <w:t>existing Australian legislative requirements</w:t>
            </w:r>
          </w:p>
          <w:p w:rsidR="00000000" w:rsidRPr="0049467D" w:rsidP="0049467D">
            <w:pPr>
              <w:pStyle w:val="ListBullet"/>
            </w:pPr>
            <w:r w:rsidRPr="0049467D">
              <w:t>challenge tests</w:t>
            </w:r>
          </w:p>
          <w:p w:rsidR="00000000" w:rsidRPr="0049467D" w:rsidP="0049467D">
            <w:pPr>
              <w:pStyle w:val="ListBullet"/>
            </w:pPr>
            <w:r w:rsidRPr="0049467D">
              <w:t>peer reviewed scientific papers</w:t>
            </w:r>
          </w:p>
          <w:p w:rsidR="00000000" w:rsidRPr="0049467D" w:rsidP="0049467D">
            <w:pPr>
              <w:pStyle w:val="ListBullet"/>
            </w:pPr>
            <w:r w:rsidRPr="0049467D">
              <w:t>targeted scientific reports</w:t>
            </w:r>
          </w:p>
          <w:p w:rsidR="00000000" w:rsidRPr="0049467D" w:rsidP="0049467D">
            <w:pPr>
              <w:pStyle w:val="ListBullet"/>
            </w:pPr>
            <w:r w:rsidRPr="0049467D">
              <w:t>validation already carried out in other jurisdictions and recognised by</w:t>
            </w:r>
            <w:r w:rsidRPr="0049467D">
              <w:t xml:space="preserve"> the responsible authority</w:t>
            </w:r>
          </w:p>
          <w:p w:rsidR="00000000" w:rsidRPr="0049467D" w:rsidP="0049467D">
            <w:pPr>
              <w:pStyle w:val="ListBullet"/>
            </w:pPr>
            <w:r w:rsidRPr="0049467D">
              <w:t>mathematical modelling (e.g. predictive microbiology models)</w:t>
            </w:r>
          </w:p>
          <w:p w:rsidR="00000000" w:rsidRPr="0049467D" w:rsidP="0049467D">
            <w:pPr>
              <w:pStyle w:val="ListBullet"/>
            </w:pPr>
            <w:r w:rsidRPr="0049467D">
              <w:t>industry codes of practice (where implementation by food business is verified during audits)</w:t>
            </w:r>
          </w:p>
        </w:tc>
      </w:tr>
    </w:tbl>
    <w:p w:rsidR="00EB64A4" w:rsidP="0049467D">
      <w:pPr>
        <w:pStyle w:val="BodyText"/>
      </w:pPr>
    </w:p>
    <w:p w:rsidR="00EB64A4" w:rsidP="0049467D">
      <w:pPr>
        <w:pStyle w:val="BodyText"/>
      </w:pPr>
    </w:p>
    <w:p w:rsidR="00000000" w:rsidRPr="0049467D" w:rsidP="0049467D">
      <w:pPr>
        <w:pStyle w:val="Heading1"/>
      </w:pPr>
      <w:bookmarkStart w:id="12" w:name="O_74138"/>
      <w:bookmarkEnd w:id="12"/>
      <w:r w:rsidRPr="0049467D">
        <w:t>Unit Sector(s)</w:t>
      </w:r>
    </w:p>
    <w:tbl>
      <w:tblPr>
        <w:tblW w:w="0" w:type="auto"/>
        <w:tblLayout w:type="fixed"/>
        <w:tblCellMar>
          <w:left w:w="62" w:type="dxa"/>
          <w:right w:w="62" w:type="dxa"/>
        </w:tblCellMar>
        <w:tblLook w:val="0000"/>
      </w:tblPr>
      <w:tblGrid>
        <w:gridCol w:w="2626"/>
        <w:gridCol w:w="5896"/>
      </w:tblGrid>
      <w:tr w:rsidTr="00EB64A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r w:rsidRPr="0049467D">
              <w:t>Food safety auditing</w:t>
            </w: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13" w:name="O_155597"/>
      <w:bookmarkEnd w:id="13"/>
      <w:r w:rsidRPr="0049467D">
        <w:t>Competency field</w:t>
      </w:r>
    </w:p>
    <w:tbl>
      <w:tblPr>
        <w:tblW w:w="0" w:type="auto"/>
        <w:tblLayout w:type="fixed"/>
        <w:tblCellMar>
          <w:left w:w="62" w:type="dxa"/>
          <w:right w:w="62" w:type="dxa"/>
        </w:tblCellMar>
        <w:tblLook w:val="0000"/>
      </w:tblPr>
      <w:tblGrid>
        <w:gridCol w:w="2784"/>
        <w:gridCol w:w="5738"/>
      </w:tblGrid>
      <w:tr w:rsidTr="00EB64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p>
        </w:tc>
      </w:tr>
    </w:tbl>
    <w:p w:rsidR="00000000" w:rsidRPr="0049467D" w:rsidP="0049467D">
      <w:pPr>
        <w:pStyle w:val="BodyText"/>
      </w:pPr>
    </w:p>
    <w:p w:rsidR="00000000" w:rsidRPr="0049467D" w:rsidP="0049467D">
      <w:pPr>
        <w:pStyle w:val="AllowPageBreak"/>
      </w:pPr>
    </w:p>
    <w:p w:rsidR="00000000" w:rsidRPr="0049467D" w:rsidP="0049467D">
      <w:pPr>
        <w:pStyle w:val="Heading1"/>
      </w:pPr>
      <w:bookmarkStart w:id="14" w:name="O_155596"/>
      <w:bookmarkEnd w:id="14"/>
      <w:r w:rsidRPr="0049467D">
        <w:t>Co-requisite units</w:t>
      </w:r>
    </w:p>
    <w:tbl>
      <w:tblPr>
        <w:tblW w:w="0" w:type="auto"/>
        <w:tblLayout w:type="fixed"/>
        <w:tblCellMar>
          <w:left w:w="62" w:type="dxa"/>
          <w:right w:w="62" w:type="dxa"/>
        </w:tblCellMar>
        <w:tblLook w:val="0000"/>
      </w:tblPr>
      <w:tblGrid>
        <w:gridCol w:w="2641"/>
        <w:gridCol w:w="1322"/>
        <w:gridCol w:w="4559"/>
      </w:tblGrid>
      <w:tr w:rsidTr="00EB64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r w:rsidRPr="004946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p>
        </w:tc>
      </w:tr>
      <w:tr w:rsidTr="00EB64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7D">
            <w:pPr>
              <w:pStyle w:val="BodyText"/>
              <w:rPr>
                <w:lang w:val="en-NZ"/>
              </w:rPr>
            </w:pPr>
          </w:p>
        </w:tc>
      </w:tr>
      <w:tr w:rsidTr="00EB64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7D" w:rsidP="0049467D">
            <w:pPr>
              <w:pStyle w:val="BodyText"/>
            </w:pPr>
          </w:p>
        </w:tc>
      </w:tr>
    </w:tbl>
    <w:p w:rsidR="00000000" w:rsidRPr="0049467D" w:rsidP="0049467D">
      <w:pPr>
        <w:pStyle w:val="BodyText"/>
      </w:pPr>
    </w:p>
    <w:p w:rsidR="00000000" w:rsidRPr="0049467D" w:rsidP="0049467D"/>
    <w:sectPr w:rsidSect="00494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4A4" w:rsidP="00EB6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A4" w:rsidP="00494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B64A4" w:rsidP="00494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B64A4" w:rsidP="00494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4A4" w:rsidP="00EB64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A4" w:rsidP="0049467D">
    <w:pPr>
      <w:pStyle w:val="Header"/>
      <w:framePr w:wrap="around"/>
    </w:pPr>
    <w:r>
      <w:fldChar w:fldCharType="begin"/>
    </w:r>
    <w:r>
      <w:instrText xml:space="preserve"> TITLE   \* MERGEFORMAT </w:instrText>
    </w:r>
    <w:r>
      <w:fldChar w:fldCharType="separate"/>
    </w:r>
    <w:r>
      <w:t>FDFAU4004A Identify, evaluate and control food safety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64A4" w:rsidP="00494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7A7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427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F25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67D"/>
    <w:pPr>
      <w:spacing w:before="360" w:after="60"/>
      <w:outlineLvl w:val="0"/>
    </w:pPr>
    <w:rPr>
      <w:sz w:val="32"/>
    </w:rPr>
  </w:style>
  <w:style w:type="paragraph" w:styleId="Heading2">
    <w:name w:val="heading 2"/>
    <w:basedOn w:val="HeadingBase"/>
    <w:next w:val="BodyText"/>
    <w:link w:val="Heading2Char"/>
    <w:qFormat/>
    <w:rsid w:val="0049467D"/>
    <w:pPr>
      <w:keepLines/>
      <w:spacing w:before="240" w:after="120"/>
      <w:outlineLvl w:val="1"/>
    </w:pPr>
    <w:rPr>
      <w:sz w:val="28"/>
      <w:szCs w:val="40"/>
    </w:rPr>
  </w:style>
  <w:style w:type="paragraph" w:styleId="Heading3">
    <w:name w:val="heading 3"/>
    <w:basedOn w:val="HeadingBase"/>
    <w:next w:val="BodyText"/>
    <w:link w:val="Heading3Char"/>
    <w:qFormat/>
    <w:rsid w:val="0049467D"/>
    <w:pPr>
      <w:spacing w:before="180" w:after="120"/>
      <w:outlineLvl w:val="2"/>
    </w:pPr>
    <w:rPr>
      <w:spacing w:val="-10"/>
      <w:kern w:val="32"/>
    </w:rPr>
  </w:style>
  <w:style w:type="paragraph" w:styleId="Heading4">
    <w:name w:val="heading 4"/>
    <w:basedOn w:val="HeadingBase"/>
    <w:next w:val="BodyText"/>
    <w:link w:val="Heading4Char"/>
    <w:qFormat/>
    <w:rsid w:val="0049467D"/>
    <w:pPr>
      <w:spacing w:before="160" w:after="120"/>
      <w:outlineLvl w:val="3"/>
    </w:pPr>
    <w:rPr>
      <w:sz w:val="22"/>
    </w:rPr>
  </w:style>
  <w:style w:type="paragraph" w:styleId="Heading5">
    <w:name w:val="heading 5"/>
    <w:basedOn w:val="HeadingBase"/>
    <w:next w:val="Normal"/>
    <w:link w:val="Heading5Char"/>
    <w:qFormat/>
    <w:rsid w:val="0049467D"/>
    <w:pPr>
      <w:spacing w:before="80"/>
      <w:outlineLvl w:val="4"/>
    </w:pPr>
    <w:rPr>
      <w:color w:val="918585"/>
      <w:sz w:val="20"/>
    </w:rPr>
  </w:style>
  <w:style w:type="paragraph" w:styleId="Heading6">
    <w:name w:val="heading 6"/>
    <w:basedOn w:val="HeadingBase"/>
    <w:next w:val="Normal"/>
    <w:link w:val="Heading6Char"/>
    <w:qFormat/>
    <w:rsid w:val="0049467D"/>
    <w:pPr>
      <w:spacing w:before="60"/>
      <w:outlineLvl w:val="5"/>
    </w:pPr>
    <w:rPr>
      <w:color w:val="918585"/>
      <w:sz w:val="20"/>
    </w:rPr>
  </w:style>
  <w:style w:type="paragraph" w:styleId="Heading7">
    <w:name w:val="heading 7"/>
    <w:basedOn w:val="Normal"/>
    <w:next w:val="Normal"/>
    <w:link w:val="Heading7Char"/>
    <w:qFormat/>
    <w:rsid w:val="0049467D"/>
    <w:pPr>
      <w:ind w:left="720"/>
      <w:outlineLvl w:val="6"/>
    </w:pPr>
    <w:rPr>
      <w:i/>
    </w:rPr>
  </w:style>
  <w:style w:type="paragraph" w:styleId="Heading8">
    <w:name w:val="heading 8"/>
    <w:basedOn w:val="Normal"/>
    <w:next w:val="Normal"/>
    <w:link w:val="Heading8Char"/>
    <w:qFormat/>
    <w:rsid w:val="0049467D"/>
    <w:pPr>
      <w:ind w:left="720"/>
      <w:outlineLvl w:val="7"/>
    </w:pPr>
    <w:rPr>
      <w:i/>
    </w:rPr>
  </w:style>
  <w:style w:type="paragraph" w:styleId="Heading9">
    <w:name w:val="heading 9"/>
    <w:basedOn w:val="Normal"/>
    <w:next w:val="Normal"/>
    <w:link w:val="Heading9Char"/>
    <w:qFormat/>
    <w:rsid w:val="0049467D"/>
    <w:pPr>
      <w:ind w:left="720"/>
      <w:outlineLvl w:val="8"/>
    </w:pPr>
    <w:rPr>
      <w:i/>
    </w:rPr>
  </w:style>
  <w:style w:type="character" w:default="1" w:styleId="DefaultParagraphFont">
    <w:name w:val="Default Paragraph Font"/>
    <w:uiPriority w:val="1"/>
    <w:unhideWhenUsed/>
    <w:rsid w:val="00494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67D"/>
  </w:style>
  <w:style w:type="character" w:customStyle="1" w:styleId="Heading1Char">
    <w:name w:val="Heading 1 Char"/>
    <w:basedOn w:val="DefaultParagraphFont"/>
    <w:link w:val="Heading1"/>
    <w:rsid w:val="0049467D"/>
    <w:rPr>
      <w:rFonts w:ascii="Times New Roman" w:eastAsia="Times New Roman" w:hAnsi="Times New Roman" w:cs="Times New Roman"/>
      <w:b/>
      <w:sz w:val="32"/>
      <w:szCs w:val="20"/>
      <w:lang w:eastAsia="en-US"/>
    </w:rPr>
  </w:style>
  <w:style w:type="paragraph" w:styleId="BodyText">
    <w:name w:val="Body Text"/>
    <w:basedOn w:val="Normal"/>
    <w:link w:val="BodyTextChar"/>
    <w:rsid w:val="00494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67D"/>
    <w:rPr>
      <w:rFonts w:ascii="Times New Roman" w:eastAsia="Times New Roman" w:hAnsi="Times New Roman" w:cs="Times New Roman"/>
      <w:sz w:val="24"/>
      <w:lang w:val="en-US" w:eastAsia="en-US"/>
    </w:rPr>
  </w:style>
  <w:style w:type="paragraph" w:styleId="Footer">
    <w:name w:val="footer"/>
    <w:basedOn w:val="Normal"/>
    <w:link w:val="FooterChar"/>
    <w:rsid w:val="00494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67D"/>
    <w:rPr>
      <w:rFonts w:ascii="Times New Roman" w:eastAsia="Times New Roman" w:hAnsi="Times New Roman" w:cs="Times New Roman"/>
      <w:sz w:val="16"/>
      <w:lang w:val="en-US" w:eastAsia="en-US"/>
    </w:rPr>
  </w:style>
  <w:style w:type="paragraph" w:styleId="List">
    <w:name w:val="List"/>
    <w:basedOn w:val="BodyText"/>
    <w:next w:val="BodyText"/>
    <w:rsid w:val="0049467D"/>
    <w:pPr>
      <w:tabs>
        <w:tab w:val="left" w:pos="340"/>
      </w:tabs>
      <w:spacing w:before="60" w:after="60"/>
      <w:ind w:left="340" w:hanging="340"/>
    </w:pPr>
  </w:style>
  <w:style w:type="paragraph" w:styleId="ListBullet">
    <w:name w:val="List Bullet"/>
    <w:basedOn w:val="List"/>
    <w:rsid w:val="0049467D"/>
    <w:pPr>
      <w:numPr>
        <w:numId w:val="13"/>
      </w:numPr>
      <w:tabs>
        <w:tab w:val="clear" w:pos="340"/>
      </w:tabs>
      <w:spacing w:before="40" w:after="40"/>
    </w:pPr>
  </w:style>
  <w:style w:type="character" w:customStyle="1" w:styleId="SpecialBold">
    <w:name w:val="Special Bold"/>
    <w:basedOn w:val="DefaultParagraphFont"/>
    <w:rsid w:val="0049467D"/>
    <w:rPr>
      <w:b/>
      <w:spacing w:val="0"/>
    </w:rPr>
  </w:style>
  <w:style w:type="paragraph" w:styleId="ListBullet2">
    <w:name w:val="List Bullet 2"/>
    <w:basedOn w:val="List2"/>
    <w:rsid w:val="0049467D"/>
    <w:pPr>
      <w:numPr>
        <w:numId w:val="14"/>
      </w:numPr>
      <w:tabs>
        <w:tab w:val="clear" w:pos="680"/>
      </w:tabs>
    </w:pPr>
  </w:style>
  <w:style w:type="paragraph" w:styleId="Header">
    <w:name w:val="header"/>
    <w:basedOn w:val="Normal"/>
    <w:link w:val="HeaderChar"/>
    <w:rsid w:val="00494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467D"/>
    <w:pPr>
      <w:spacing w:before="240" w:after="120"/>
      <w:outlineLvl w:val="0"/>
    </w:pPr>
    <w:rPr>
      <w:rFonts w:ascii="Times New Roman" w:hAnsi="Times New Roman"/>
      <w:b/>
      <w:sz w:val="28"/>
    </w:rPr>
  </w:style>
  <w:style w:type="paragraph" w:customStyle="1" w:styleId="AllowPageBreak">
    <w:name w:val="AllowPageBreak"/>
    <w:rsid w:val="004946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467D"/>
    <w:pPr>
      <w:tabs>
        <w:tab w:val="left" w:pos="680"/>
      </w:tabs>
      <w:spacing w:before="60" w:after="60"/>
      <w:ind w:left="680" w:hanging="340"/>
    </w:pPr>
  </w:style>
  <w:style w:type="character" w:customStyle="1" w:styleId="BoldandItalics">
    <w:name w:val="Bold and Italics"/>
    <w:qFormat/>
    <w:rsid w:val="0049467D"/>
    <w:rPr>
      <w:b/>
      <w:i/>
      <w:u w:val="none"/>
    </w:rPr>
  </w:style>
  <w:style w:type="character" w:customStyle="1" w:styleId="Heading2Char">
    <w:name w:val="Heading 2 Char"/>
    <w:basedOn w:val="DefaultParagraphFont"/>
    <w:link w:val="Heading2"/>
    <w:rsid w:val="00494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67D"/>
    <w:rPr>
      <w:rFonts w:ascii="Courier New" w:eastAsia="Times New Roman" w:hAnsi="Courier New" w:cs="Times New Roman"/>
      <w:i/>
      <w:szCs w:val="20"/>
      <w:lang w:val="en-US" w:eastAsia="en-US"/>
    </w:rPr>
  </w:style>
  <w:style w:type="paragraph" w:customStyle="1" w:styleId="HeadingBase">
    <w:name w:val="Heading Base"/>
    <w:rsid w:val="00494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67D"/>
    <w:pPr>
      <w:tabs>
        <w:tab w:val="right" w:leader="dot" w:pos="9072"/>
      </w:tabs>
      <w:ind w:left="567"/>
    </w:pPr>
    <w:rPr>
      <w:szCs w:val="22"/>
    </w:rPr>
  </w:style>
  <w:style w:type="paragraph" w:customStyle="1" w:styleId="TOCBase">
    <w:name w:val="TOC Base"/>
    <w:rsid w:val="00494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67D"/>
    <w:pPr>
      <w:tabs>
        <w:tab w:val="right" w:leader="dot" w:pos="9072"/>
      </w:tabs>
      <w:spacing w:before="40" w:after="40"/>
      <w:ind w:left="284"/>
    </w:pPr>
    <w:rPr>
      <w:rFonts w:ascii="Times New Roman" w:hAnsi="Times New Roman"/>
    </w:rPr>
  </w:style>
  <w:style w:type="paragraph" w:styleId="TOC1">
    <w:name w:val="toc 1"/>
    <w:basedOn w:val="TOCBase"/>
    <w:next w:val="Normal"/>
    <w:rsid w:val="00494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67D"/>
    <w:pPr>
      <w:spacing w:before="5040"/>
      <w:jc w:val="center"/>
    </w:pPr>
    <w:rPr>
      <w:sz w:val="48"/>
      <w:szCs w:val="72"/>
      <w:lang w:val="en-US"/>
    </w:rPr>
  </w:style>
  <w:style w:type="character" w:customStyle="1" w:styleId="TitleChar">
    <w:name w:val="Title Char"/>
    <w:basedOn w:val="DefaultParagraphFont"/>
    <w:link w:val="Title"/>
    <w:rsid w:val="00494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67D"/>
    <w:pPr>
      <w:tabs>
        <w:tab w:val="left" w:pos="3600"/>
        <w:tab w:val="left" w:pos="3958"/>
      </w:tabs>
    </w:pPr>
  </w:style>
  <w:style w:type="paragraph" w:customStyle="1" w:styleId="Note">
    <w:name w:val="Note"/>
    <w:basedOn w:val="BodyText"/>
    <w:rsid w:val="00494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67D"/>
    <w:pPr>
      <w:framePr w:wrap="auto" w:hAnchor="text" w:y="6049"/>
    </w:pPr>
    <w:rPr>
      <w:color w:val="000000"/>
      <w:sz w:val="40"/>
    </w:rPr>
  </w:style>
  <w:style w:type="paragraph" w:customStyle="1" w:styleId="TOCTitle">
    <w:name w:val="TOCTitle"/>
    <w:basedOn w:val="Heading1"/>
    <w:rsid w:val="0049467D"/>
    <w:pPr>
      <w:spacing w:after="240"/>
      <w:jc w:val="center"/>
      <w:outlineLvl w:val="9"/>
    </w:pPr>
    <w:rPr>
      <w:caps/>
    </w:rPr>
  </w:style>
  <w:style w:type="paragraph" w:customStyle="1" w:styleId="Version">
    <w:name w:val="Version"/>
    <w:rsid w:val="00494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67D"/>
    <w:pPr>
      <w:keepNext w:val="0"/>
      <w:tabs>
        <w:tab w:val="right" w:pos="4176"/>
      </w:tabs>
      <w:ind w:left="198" w:hanging="198"/>
    </w:pPr>
    <w:rPr>
      <w:rFonts w:ascii="Garamond" w:hAnsi="Garamond"/>
    </w:rPr>
  </w:style>
  <w:style w:type="paragraph" w:styleId="IndexHeading">
    <w:name w:val="index heading"/>
    <w:basedOn w:val="Normal"/>
    <w:next w:val="Index1"/>
    <w:semiHidden/>
    <w:rsid w:val="0049467D"/>
    <w:pPr>
      <w:spacing w:before="120" w:after="120"/>
    </w:pPr>
    <w:rPr>
      <w:rFonts w:ascii="Arial" w:hAnsi="Arial"/>
      <w:b/>
      <w:color w:val="918585"/>
      <w:sz w:val="24"/>
    </w:rPr>
  </w:style>
  <w:style w:type="paragraph" w:customStyle="1" w:styleId="Chapter">
    <w:name w:val="Chapter"/>
    <w:basedOn w:val="Normal"/>
    <w:rsid w:val="0049467D"/>
    <w:pPr>
      <w:spacing w:before="240"/>
    </w:pPr>
    <w:rPr>
      <w:rFonts w:ascii="Times New Roman" w:hAnsi="Times New Roman"/>
      <w:smallCaps/>
      <w:spacing w:val="80"/>
      <w:sz w:val="28"/>
    </w:rPr>
  </w:style>
  <w:style w:type="paragraph" w:customStyle="1" w:styleId="InChapter">
    <w:name w:val="InChapter"/>
    <w:basedOn w:val="Heading3"/>
    <w:rsid w:val="0049467D"/>
    <w:pPr>
      <w:spacing w:after="240"/>
      <w:outlineLvl w:val="9"/>
    </w:pPr>
    <w:rPr>
      <w:noProof/>
    </w:rPr>
  </w:style>
  <w:style w:type="paragraph" w:styleId="Index2">
    <w:name w:val="index 2"/>
    <w:basedOn w:val="Normal"/>
    <w:next w:val="Normal"/>
    <w:semiHidden/>
    <w:rsid w:val="0049467D"/>
    <w:pPr>
      <w:tabs>
        <w:tab w:val="right" w:pos="4176"/>
      </w:tabs>
      <w:ind w:left="568" w:hanging="284"/>
    </w:pPr>
    <w:rPr>
      <w:rFonts w:ascii="Garamond" w:hAnsi="Garamond"/>
    </w:rPr>
  </w:style>
  <w:style w:type="paragraph" w:customStyle="1" w:styleId="Byline">
    <w:name w:val="Byline"/>
    <w:rsid w:val="00494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67D"/>
    <w:pPr>
      <w:tabs>
        <w:tab w:val="clear" w:pos="3600"/>
        <w:tab w:val="clear" w:pos="3958"/>
      </w:tabs>
      <w:jc w:val="right"/>
    </w:pPr>
  </w:style>
  <w:style w:type="character" w:styleId="Emphasis">
    <w:name w:val="Emphasis"/>
    <w:basedOn w:val="DefaultParagraphFont"/>
    <w:qFormat/>
    <w:rsid w:val="0049467D"/>
    <w:rPr>
      <w:i/>
    </w:rPr>
  </w:style>
  <w:style w:type="paragraph" w:styleId="Caption">
    <w:name w:val="caption"/>
    <w:basedOn w:val="BodyText"/>
    <w:next w:val="Normal"/>
    <w:qFormat/>
    <w:rsid w:val="0049467D"/>
    <w:pPr>
      <w:framePr w:w="2268" w:hSpace="181" w:vSpace="181" w:wrap="around" w:vAnchor="text" w:hAnchor="page" w:x="1135" w:y="285" w:anchorLock="1"/>
    </w:pPr>
    <w:rPr>
      <w:i/>
    </w:rPr>
  </w:style>
  <w:style w:type="paragraph" w:customStyle="1" w:styleId="MiniTOCTitle">
    <w:name w:val="MiniTOCTitle"/>
    <w:basedOn w:val="Heading4"/>
    <w:rsid w:val="0049467D"/>
    <w:pPr>
      <w:spacing w:before="240"/>
      <w:outlineLvl w:val="9"/>
    </w:pPr>
    <w:rPr>
      <w:noProof/>
      <w:sz w:val="24"/>
    </w:rPr>
  </w:style>
  <w:style w:type="paragraph" w:customStyle="1" w:styleId="MiniTOCItem">
    <w:name w:val="MiniTOCItem"/>
    <w:basedOn w:val="ListBullet"/>
    <w:rsid w:val="0049467D"/>
    <w:pPr>
      <w:numPr>
        <w:numId w:val="0"/>
      </w:numPr>
      <w:tabs>
        <w:tab w:val="right" w:leader="dot" w:pos="6521"/>
      </w:tabs>
      <w:spacing w:before="0" w:after="0"/>
    </w:pPr>
  </w:style>
  <w:style w:type="paragraph" w:customStyle="1" w:styleId="TOFTitle">
    <w:name w:val="TOFTitle"/>
    <w:basedOn w:val="TOCTitle"/>
    <w:rsid w:val="0049467D"/>
  </w:style>
  <w:style w:type="paragraph" w:styleId="TableofFigures">
    <w:name w:val="table of figures"/>
    <w:basedOn w:val="Normal"/>
    <w:next w:val="Normal"/>
    <w:semiHidden/>
    <w:rsid w:val="0049467D"/>
    <w:pPr>
      <w:tabs>
        <w:tab w:val="right" w:leader="dot" w:pos="9072"/>
      </w:tabs>
      <w:ind w:left="970" w:hanging="403"/>
    </w:pPr>
    <w:rPr>
      <w:rFonts w:ascii="Times New Roman" w:hAnsi="Times New Roman"/>
      <w:b/>
    </w:rPr>
  </w:style>
  <w:style w:type="paragraph" w:styleId="ListNumber">
    <w:name w:val="List Number"/>
    <w:basedOn w:val="List"/>
    <w:rsid w:val="0049467D"/>
    <w:pPr>
      <w:numPr>
        <w:numId w:val="11"/>
      </w:numPr>
    </w:pPr>
  </w:style>
  <w:style w:type="character" w:customStyle="1" w:styleId="WingdingSymbols">
    <w:name w:val="Wingding Symbols"/>
    <w:rsid w:val="0049467D"/>
    <w:rPr>
      <w:rFonts w:ascii="Wingdings" w:hAnsi="Wingdings"/>
    </w:rPr>
  </w:style>
  <w:style w:type="paragraph" w:customStyle="1" w:styleId="TableHeading">
    <w:name w:val="Table Heading"/>
    <w:basedOn w:val="HeadingBase"/>
    <w:rsid w:val="0049467D"/>
    <w:pPr>
      <w:keepLines/>
      <w:pBdr>
        <w:bottom w:val="single" w:sz="6" w:space="1" w:color="918585"/>
      </w:pBdr>
      <w:spacing w:before="240"/>
    </w:pPr>
  </w:style>
  <w:style w:type="character" w:customStyle="1" w:styleId="HotSpot">
    <w:name w:val="HotSpot"/>
    <w:rsid w:val="0049467D"/>
    <w:rPr>
      <w:color w:val="0033CC"/>
      <w:u w:val="none"/>
    </w:rPr>
  </w:style>
  <w:style w:type="paragraph" w:customStyle="1" w:styleId="BodyTextRight">
    <w:name w:val="Body Text Right"/>
    <w:basedOn w:val="BodyText"/>
    <w:rsid w:val="0049467D"/>
    <w:pPr>
      <w:spacing w:before="0" w:after="0"/>
      <w:jc w:val="right"/>
    </w:pPr>
  </w:style>
  <w:style w:type="paragraph" w:styleId="Index3">
    <w:name w:val="index 3"/>
    <w:basedOn w:val="ListNumber2"/>
    <w:next w:val="Normal"/>
    <w:semiHidden/>
    <w:rsid w:val="0049467D"/>
    <w:pPr>
      <w:numPr>
        <w:numId w:val="0"/>
      </w:numPr>
      <w:tabs>
        <w:tab w:val="right" w:leader="dot" w:pos="4176"/>
      </w:tabs>
    </w:pPr>
  </w:style>
  <w:style w:type="paragraph" w:styleId="ListNumber2">
    <w:name w:val="List Number 2"/>
    <w:basedOn w:val="List2"/>
    <w:rsid w:val="0049467D"/>
    <w:pPr>
      <w:numPr>
        <w:numId w:val="10"/>
      </w:numPr>
      <w:tabs>
        <w:tab w:val="clear" w:pos="1060"/>
      </w:tabs>
    </w:pPr>
  </w:style>
  <w:style w:type="paragraph" w:customStyle="1" w:styleId="MarginNote">
    <w:name w:val="Margin Note"/>
    <w:basedOn w:val="BodyText"/>
    <w:rsid w:val="00494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67D"/>
    <w:rPr>
      <w:sz w:val="32"/>
    </w:rPr>
  </w:style>
  <w:style w:type="paragraph" w:customStyle="1" w:styleId="HeadingProcedure">
    <w:name w:val="Heading Procedure"/>
    <w:basedOn w:val="HeadingBase"/>
    <w:next w:val="Normal"/>
    <w:rsid w:val="0049467D"/>
    <w:pPr>
      <w:tabs>
        <w:tab w:val="left" w:pos="0"/>
      </w:tabs>
      <w:spacing w:before="120" w:after="60"/>
    </w:pPr>
    <w:rPr>
      <w:i/>
      <w:color w:val="918585"/>
      <w:sz w:val="22"/>
    </w:rPr>
  </w:style>
  <w:style w:type="paragraph" w:customStyle="1" w:styleId="TableBodyText">
    <w:name w:val="Table Body Text"/>
    <w:basedOn w:val="BodyText"/>
    <w:rsid w:val="0049467D"/>
    <w:pPr>
      <w:spacing w:before="60" w:after="60"/>
    </w:pPr>
  </w:style>
  <w:style w:type="paragraph" w:styleId="ListContinue">
    <w:name w:val="List Continue"/>
    <w:basedOn w:val="List"/>
    <w:rsid w:val="0049467D"/>
    <w:pPr>
      <w:ind w:firstLine="0"/>
    </w:pPr>
  </w:style>
  <w:style w:type="paragraph" w:customStyle="1" w:styleId="ListNote">
    <w:name w:val="List Note"/>
    <w:basedOn w:val="List"/>
    <w:rsid w:val="0049467D"/>
    <w:pPr>
      <w:pBdr>
        <w:top w:val="single" w:sz="6" w:space="2" w:color="918585"/>
        <w:bottom w:val="single" w:sz="6" w:space="2" w:color="918585"/>
      </w:pBdr>
      <w:tabs>
        <w:tab w:val="left" w:pos="1021"/>
      </w:tabs>
      <w:ind w:firstLine="0"/>
    </w:pPr>
  </w:style>
  <w:style w:type="paragraph" w:customStyle="1" w:styleId="Warning">
    <w:name w:val="Warning"/>
    <w:basedOn w:val="BodyText"/>
    <w:rsid w:val="0049467D"/>
    <w:pPr>
      <w:shd w:val="clear" w:color="auto" w:fill="D9D9D9"/>
      <w:tabs>
        <w:tab w:val="left" w:pos="992"/>
      </w:tabs>
      <w:ind w:left="119" w:right="119"/>
    </w:pPr>
    <w:rPr>
      <w:sz w:val="20"/>
    </w:rPr>
  </w:style>
  <w:style w:type="paragraph" w:customStyle="1" w:styleId="MarginIcons">
    <w:name w:val="Margin Icons"/>
    <w:basedOn w:val="BodyText"/>
    <w:rsid w:val="00494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67D"/>
    <w:rPr>
      <w:rFonts w:ascii="Courier New" w:hAnsi="Courier New"/>
    </w:rPr>
  </w:style>
  <w:style w:type="paragraph" w:customStyle="1" w:styleId="NoteBullet">
    <w:name w:val="Note Bullet"/>
    <w:basedOn w:val="Note"/>
    <w:rsid w:val="0049467D"/>
    <w:pPr>
      <w:tabs>
        <w:tab w:val="clear" w:pos="680"/>
      </w:tabs>
      <w:spacing w:before="60" w:after="60"/>
    </w:pPr>
  </w:style>
  <w:style w:type="paragraph" w:customStyle="1" w:styleId="SubHeading2">
    <w:name w:val="SubHeading2"/>
    <w:basedOn w:val="HeadingBase"/>
    <w:rsid w:val="0049467D"/>
    <w:pPr>
      <w:spacing w:before="240" w:after="60"/>
    </w:pPr>
    <w:rPr>
      <w:sz w:val="20"/>
    </w:rPr>
  </w:style>
  <w:style w:type="paragraph" w:customStyle="1" w:styleId="SubHeading1">
    <w:name w:val="SubHeading1"/>
    <w:basedOn w:val="HeadingBase"/>
    <w:rsid w:val="0049467D"/>
    <w:pPr>
      <w:spacing w:before="240" w:after="60"/>
    </w:pPr>
    <w:rPr>
      <w:color w:val="918585"/>
      <w:sz w:val="22"/>
    </w:rPr>
  </w:style>
  <w:style w:type="paragraph" w:customStyle="1" w:styleId="SideHeading">
    <w:name w:val="Side Heading"/>
    <w:basedOn w:val="HeadingBase"/>
    <w:rsid w:val="00494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67D"/>
    <w:pPr>
      <w:numPr>
        <w:numId w:val="12"/>
      </w:numPr>
    </w:pPr>
  </w:style>
  <w:style w:type="paragraph" w:styleId="PlainText">
    <w:name w:val="Plain Text"/>
    <w:basedOn w:val="Normal"/>
    <w:link w:val="PlainTextChar"/>
    <w:rsid w:val="0049467D"/>
    <w:rPr>
      <w:sz w:val="20"/>
    </w:rPr>
  </w:style>
  <w:style w:type="character" w:customStyle="1" w:styleId="PlainTextChar">
    <w:name w:val="Plain Text Char"/>
    <w:basedOn w:val="DefaultParagraphFont"/>
    <w:link w:val="PlainText"/>
    <w:rsid w:val="00494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467D"/>
    <w:rPr>
      <w:b/>
      <w:smallCaps/>
    </w:rPr>
  </w:style>
  <w:style w:type="paragraph" w:customStyle="1" w:styleId="TableListNumber">
    <w:name w:val="Table List Number"/>
    <w:basedOn w:val="ListNumber"/>
    <w:rsid w:val="0049467D"/>
    <w:pPr>
      <w:numPr>
        <w:numId w:val="0"/>
      </w:numPr>
    </w:pPr>
  </w:style>
  <w:style w:type="paragraph" w:styleId="TOC4">
    <w:name w:val="toc 4"/>
    <w:basedOn w:val="TOCBase"/>
    <w:next w:val="Normal"/>
    <w:semiHidden/>
    <w:rsid w:val="0049467D"/>
    <w:pPr>
      <w:tabs>
        <w:tab w:val="right" w:leader="dot" w:pos="9071"/>
      </w:tabs>
      <w:ind w:left="1701"/>
    </w:pPr>
  </w:style>
  <w:style w:type="paragraph" w:customStyle="1" w:styleId="ListAlpha">
    <w:name w:val="List Alpha"/>
    <w:basedOn w:val="List"/>
    <w:rsid w:val="0049467D"/>
    <w:pPr>
      <w:numPr>
        <w:numId w:val="9"/>
      </w:numPr>
    </w:pPr>
  </w:style>
  <w:style w:type="paragraph" w:customStyle="1" w:styleId="ListAlpha2">
    <w:name w:val="List Alpha 2"/>
    <w:basedOn w:val="List2"/>
    <w:rsid w:val="0049467D"/>
    <w:pPr>
      <w:numPr>
        <w:numId w:val="8"/>
      </w:numPr>
    </w:pPr>
  </w:style>
  <w:style w:type="paragraph" w:styleId="List3">
    <w:name w:val="List 3"/>
    <w:basedOn w:val="BodyText"/>
    <w:rsid w:val="0049467D"/>
    <w:pPr>
      <w:tabs>
        <w:tab w:val="left" w:pos="1021"/>
      </w:tabs>
      <w:spacing w:before="60" w:after="60"/>
      <w:ind w:left="1020" w:hanging="340"/>
    </w:pPr>
  </w:style>
  <w:style w:type="paragraph" w:styleId="List4">
    <w:name w:val="List 4"/>
    <w:basedOn w:val="BodyText"/>
    <w:rsid w:val="0049467D"/>
    <w:pPr>
      <w:tabs>
        <w:tab w:val="left" w:pos="1361"/>
      </w:tabs>
      <w:spacing w:before="60" w:after="60"/>
      <w:ind w:left="1361" w:hanging="340"/>
    </w:pPr>
  </w:style>
  <w:style w:type="paragraph" w:styleId="List5">
    <w:name w:val="List 5"/>
    <w:basedOn w:val="BodyText"/>
    <w:rsid w:val="0049467D"/>
    <w:pPr>
      <w:tabs>
        <w:tab w:val="left" w:pos="1701"/>
      </w:tabs>
      <w:spacing w:before="60" w:after="60"/>
      <w:ind w:left="1701" w:hanging="340"/>
    </w:pPr>
  </w:style>
  <w:style w:type="paragraph" w:styleId="ListBullet3">
    <w:name w:val="List Bullet 3"/>
    <w:basedOn w:val="List3"/>
    <w:rsid w:val="0049467D"/>
    <w:pPr>
      <w:numPr>
        <w:numId w:val="15"/>
      </w:numPr>
      <w:tabs>
        <w:tab w:val="clear" w:pos="1021"/>
      </w:tabs>
      <w:ind w:left="1037" w:hanging="357"/>
    </w:pPr>
  </w:style>
  <w:style w:type="paragraph" w:styleId="ListBullet4">
    <w:name w:val="List Bullet 4"/>
    <w:basedOn w:val="List4"/>
    <w:rsid w:val="0049467D"/>
    <w:pPr>
      <w:numPr>
        <w:numId w:val="3"/>
      </w:numPr>
    </w:pPr>
  </w:style>
  <w:style w:type="paragraph" w:styleId="ListBullet5">
    <w:name w:val="List Bullet 5"/>
    <w:basedOn w:val="List5"/>
    <w:rsid w:val="0049467D"/>
    <w:pPr>
      <w:numPr>
        <w:numId w:val="4"/>
      </w:numPr>
    </w:pPr>
  </w:style>
  <w:style w:type="paragraph" w:styleId="ListContinue2">
    <w:name w:val="List Continue 2"/>
    <w:basedOn w:val="List2"/>
    <w:rsid w:val="0049467D"/>
    <w:pPr>
      <w:ind w:firstLine="0"/>
    </w:pPr>
  </w:style>
  <w:style w:type="paragraph" w:styleId="ListContinue3">
    <w:name w:val="List Continue 3"/>
    <w:basedOn w:val="List3"/>
    <w:rsid w:val="0049467D"/>
    <w:pPr>
      <w:ind w:left="1021" w:firstLine="0"/>
    </w:pPr>
  </w:style>
  <w:style w:type="paragraph" w:styleId="ListContinue4">
    <w:name w:val="List Continue 4"/>
    <w:basedOn w:val="List4"/>
    <w:rsid w:val="0049467D"/>
    <w:pPr>
      <w:ind w:firstLine="0"/>
    </w:pPr>
  </w:style>
  <w:style w:type="paragraph" w:styleId="ListContinue5">
    <w:name w:val="List Continue 5"/>
    <w:basedOn w:val="List5"/>
    <w:rsid w:val="0049467D"/>
    <w:pPr>
      <w:ind w:firstLine="0"/>
    </w:pPr>
  </w:style>
  <w:style w:type="paragraph" w:styleId="ListNumber3">
    <w:name w:val="List Number 3"/>
    <w:basedOn w:val="List3"/>
    <w:rsid w:val="0049467D"/>
    <w:pPr>
      <w:numPr>
        <w:numId w:val="5"/>
      </w:numPr>
    </w:pPr>
  </w:style>
  <w:style w:type="paragraph" w:styleId="ListNumber4">
    <w:name w:val="List Number 4"/>
    <w:basedOn w:val="List4"/>
    <w:rsid w:val="0049467D"/>
    <w:pPr>
      <w:numPr>
        <w:numId w:val="6"/>
      </w:numPr>
    </w:pPr>
  </w:style>
  <w:style w:type="paragraph" w:styleId="ListNumber5">
    <w:name w:val="List Number 5"/>
    <w:basedOn w:val="List5"/>
    <w:rsid w:val="0049467D"/>
    <w:pPr>
      <w:numPr>
        <w:numId w:val="7"/>
      </w:numPr>
    </w:pPr>
  </w:style>
  <w:style w:type="paragraph" w:styleId="BlockText">
    <w:name w:val="Block Text"/>
    <w:basedOn w:val="Normal"/>
    <w:rsid w:val="0049467D"/>
    <w:pPr>
      <w:spacing w:after="120"/>
      <w:ind w:left="1440" w:right="1440"/>
    </w:pPr>
  </w:style>
  <w:style w:type="character" w:customStyle="1" w:styleId="Subscript">
    <w:name w:val="Subscript"/>
    <w:basedOn w:val="DefaultParagraphFont"/>
    <w:rsid w:val="0049467D"/>
    <w:rPr>
      <w:sz w:val="16"/>
      <w:vertAlign w:val="subscript"/>
    </w:rPr>
  </w:style>
  <w:style w:type="character" w:customStyle="1" w:styleId="Superscript">
    <w:name w:val="Superscript"/>
    <w:basedOn w:val="DefaultParagraphFont"/>
    <w:rsid w:val="0049467D"/>
    <w:rPr>
      <w:sz w:val="16"/>
      <w:vertAlign w:val="superscript"/>
    </w:rPr>
  </w:style>
  <w:style w:type="character" w:customStyle="1" w:styleId="Symbols">
    <w:name w:val="Symbols"/>
    <w:basedOn w:val="DefaultParagraphFont"/>
    <w:rsid w:val="0049467D"/>
    <w:rPr>
      <w:rFonts w:ascii="Symbol" w:hAnsi="Symbol"/>
    </w:rPr>
  </w:style>
  <w:style w:type="character" w:customStyle="1" w:styleId="MenuOptions">
    <w:name w:val="Menu Options"/>
    <w:basedOn w:val="DefaultParagraphFont"/>
    <w:rsid w:val="0049467D"/>
    <w:rPr>
      <w:rFonts w:ascii="Arial Narrow" w:hAnsi="Arial Narrow"/>
      <w:smallCaps/>
    </w:rPr>
  </w:style>
  <w:style w:type="character" w:customStyle="1" w:styleId="Buttons">
    <w:name w:val="Buttons"/>
    <w:basedOn w:val="DefaultParagraphFont"/>
    <w:rsid w:val="0049467D"/>
    <w:rPr>
      <w:b/>
    </w:rPr>
  </w:style>
  <w:style w:type="character" w:customStyle="1" w:styleId="Underlined">
    <w:name w:val="Underlined"/>
    <w:basedOn w:val="DefaultParagraphFont"/>
    <w:rsid w:val="0049467D"/>
    <w:rPr>
      <w:u w:val="single"/>
    </w:rPr>
  </w:style>
  <w:style w:type="paragraph" w:customStyle="1" w:styleId="TableBodyTextRight">
    <w:name w:val="Table Body Text Right"/>
    <w:basedOn w:val="TableBodyText"/>
    <w:rsid w:val="0049467D"/>
    <w:pPr>
      <w:widowControl w:val="0"/>
      <w:autoSpaceDE w:val="0"/>
      <w:autoSpaceDN w:val="0"/>
      <w:adjustRightInd w:val="0"/>
      <w:jc w:val="right"/>
    </w:pPr>
    <w:rPr>
      <w:rFonts w:cs="Arial"/>
      <w:szCs w:val="18"/>
    </w:rPr>
  </w:style>
  <w:style w:type="paragraph" w:customStyle="1" w:styleId="CopyrightText">
    <w:name w:val="Copyright Text"/>
    <w:basedOn w:val="BodyText"/>
    <w:rsid w:val="0049467D"/>
    <w:rPr>
      <w:sz w:val="18"/>
    </w:rPr>
  </w:style>
  <w:style w:type="paragraph" w:customStyle="1" w:styleId="BodySmallRight">
    <w:name w:val="Body Small Right"/>
    <w:basedOn w:val="BodyTextRight"/>
    <w:rsid w:val="0049467D"/>
    <w:rPr>
      <w:sz w:val="18"/>
      <w:szCs w:val="18"/>
    </w:rPr>
  </w:style>
  <w:style w:type="paragraph" w:customStyle="1" w:styleId="MarginEdition">
    <w:name w:val="Margin Edition"/>
    <w:basedOn w:val="MarginNote"/>
    <w:rsid w:val="0049467D"/>
    <w:pPr>
      <w:spacing w:before="0" w:after="0"/>
    </w:pPr>
    <w:rPr>
      <w:rFonts w:ascii="Times New Roman" w:hAnsi="Times New Roman"/>
      <w:color w:val="999999"/>
    </w:rPr>
  </w:style>
  <w:style w:type="paragraph" w:customStyle="1" w:styleId="Spacer">
    <w:name w:val="Spacer"/>
    <w:basedOn w:val="Normal"/>
    <w:rsid w:val="0049467D"/>
    <w:rPr>
      <w:sz w:val="2"/>
      <w:szCs w:val="2"/>
    </w:rPr>
  </w:style>
  <w:style w:type="character" w:customStyle="1" w:styleId="Small">
    <w:name w:val="Small"/>
    <w:basedOn w:val="DefaultParagraphFont"/>
    <w:rsid w:val="0049467D"/>
    <w:rPr>
      <w:sz w:val="16"/>
    </w:rPr>
  </w:style>
  <w:style w:type="paragraph" w:customStyle="1" w:styleId="WideTable">
    <w:name w:val="Wide Table"/>
    <w:basedOn w:val="Normal"/>
    <w:rsid w:val="0049467D"/>
    <w:pPr>
      <w:ind w:left="-1418"/>
    </w:pPr>
    <w:rPr>
      <w:sz w:val="2"/>
      <w:szCs w:val="2"/>
    </w:rPr>
  </w:style>
  <w:style w:type="character" w:styleId="PageNumber">
    <w:name w:val="page number"/>
    <w:basedOn w:val="DefaultParagraphFont"/>
    <w:rsid w:val="0049467D"/>
  </w:style>
  <w:style w:type="paragraph" w:styleId="Quote">
    <w:name w:val="Quote"/>
    <w:basedOn w:val="Heading1"/>
    <w:link w:val="QuoteChar"/>
    <w:qFormat/>
    <w:rsid w:val="0049467D"/>
    <w:rPr>
      <w:b w:val="0"/>
      <w:sz w:val="72"/>
      <w:szCs w:val="72"/>
      <w:lang w:val="en-NZ"/>
    </w:rPr>
  </w:style>
  <w:style w:type="character" w:customStyle="1" w:styleId="QuoteChar">
    <w:name w:val="Quote Char"/>
    <w:basedOn w:val="DefaultParagraphFont"/>
    <w:link w:val="Quote"/>
    <w:rsid w:val="00494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67D"/>
    <w:pPr>
      <w:pageBreakBefore/>
    </w:pPr>
  </w:style>
  <w:style w:type="paragraph" w:customStyle="1" w:styleId="Border">
    <w:name w:val="Border"/>
    <w:basedOn w:val="Normal"/>
    <w:qFormat/>
    <w:rsid w:val="00494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67D"/>
    <w:rPr>
      <w:b/>
      <w:bCs/>
      <w:i/>
      <w:iCs/>
      <w:color w:val="auto"/>
    </w:rPr>
  </w:style>
  <w:style w:type="paragraph" w:styleId="IntenseQuote">
    <w:name w:val="Intense Quote"/>
    <w:basedOn w:val="Normal"/>
    <w:next w:val="Normal"/>
    <w:link w:val="IntenseQuoteChar"/>
    <w:uiPriority w:val="30"/>
    <w:qFormat/>
    <w:rsid w:val="00494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467D"/>
    <w:rPr>
      <w:smallCaps/>
      <w:color w:val="auto"/>
      <w:u w:val="single"/>
    </w:rPr>
  </w:style>
  <w:style w:type="character" w:styleId="IntenseReference">
    <w:name w:val="Intense Reference"/>
    <w:basedOn w:val="DefaultParagraphFont"/>
    <w:uiPriority w:val="32"/>
    <w:qFormat/>
    <w:rsid w:val="0049467D"/>
    <w:rPr>
      <w:b/>
      <w:bCs/>
      <w:smallCaps/>
      <w:color w:val="auto"/>
      <w:spacing w:val="5"/>
      <w:u w:val="single"/>
    </w:rPr>
  </w:style>
  <w:style w:type="paragraph" w:customStyle="1" w:styleId="2ColumnHeading">
    <w:name w:val="2Column Heading"/>
    <w:basedOn w:val="BodyText"/>
    <w:qFormat/>
    <w:rsid w:val="0049467D"/>
    <w:pPr>
      <w:spacing w:after="60"/>
      <w:ind w:left="-2268"/>
    </w:pPr>
    <w:rPr>
      <w:b/>
    </w:rPr>
  </w:style>
  <w:style w:type="paragraph" w:customStyle="1" w:styleId="Heading1TOC">
    <w:name w:val="Heading1 TOC"/>
    <w:basedOn w:val="Normal"/>
    <w:qFormat/>
    <w:rsid w:val="0049467D"/>
    <w:pPr>
      <w:spacing w:before="240" w:after="120"/>
    </w:pPr>
    <w:rPr>
      <w:rFonts w:ascii="Times New Roman" w:hAnsi="Times New Roman"/>
      <w:b/>
      <w:sz w:val="32"/>
    </w:rPr>
  </w:style>
  <w:style w:type="paragraph" w:customStyle="1" w:styleId="Heading2TOC">
    <w:name w:val="Heading2 TOC"/>
    <w:basedOn w:val="Normal"/>
    <w:qFormat/>
    <w:rsid w:val="0049467D"/>
    <w:pPr>
      <w:spacing w:before="240" w:after="60"/>
    </w:pPr>
    <w:rPr>
      <w:rFonts w:ascii="Times New Roman" w:hAnsi="Times New Roman"/>
      <w:b/>
      <w:sz w:val="28"/>
    </w:rPr>
  </w:style>
  <w:style w:type="character" w:customStyle="1" w:styleId="Underline">
    <w:name w:val="Underline"/>
    <w:basedOn w:val="DefaultParagraphFont"/>
    <w:qFormat/>
    <w:rsid w:val="0049467D"/>
    <w:rPr>
      <w:u w:val="single"/>
    </w:rPr>
  </w:style>
  <w:style w:type="paragraph" w:styleId="BalloonText">
    <w:name w:val="Balloon Text"/>
    <w:basedOn w:val="Normal"/>
    <w:link w:val="BalloonTextChar"/>
    <w:rsid w:val="0049467D"/>
    <w:rPr>
      <w:rFonts w:ascii="Tahoma" w:hAnsi="Tahoma" w:cs="Tahoma"/>
      <w:sz w:val="16"/>
      <w:szCs w:val="16"/>
    </w:rPr>
  </w:style>
  <w:style w:type="character" w:customStyle="1" w:styleId="BalloonTextChar">
    <w:name w:val="Balloon Text Char"/>
    <w:basedOn w:val="DefaultParagraphFont"/>
    <w:link w:val="BalloonText"/>
    <w:rsid w:val="00494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2070</Words>
  <Characters>12683</Characters>
  <Application>Microsoft Office Word</Application>
  <DocSecurity>0</DocSecurity>
  <Lines>423</Lines>
  <Paragraphs>208</Paragraphs>
  <ScaleCrop>false</ScaleCrop>
  <Company>Author-it Software Corporation Ltd.</Company>
  <LinksUpToDate>false</LinksUpToDate>
  <CharactersWithSpaces>14680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FDFAU4004A Identify, evaluate and control food safety hazards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