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6FA" w:rsidP="003F26FA">
      <w:pPr>
        <w:pStyle w:val="Title"/>
      </w:pPr>
      <w:r>
        <w:fldChar w:fldCharType="begin"/>
      </w:r>
      <w:r>
        <w:instrText xml:space="preserve"> TITLE   \* MERGEFORMAT </w:instrText>
      </w:r>
      <w:r>
        <w:fldChar w:fldCharType="separate"/>
      </w:r>
      <w:r>
        <w:t>FDFSFGP2B Operate a grinding process</w:t>
      </w:r>
      <w:r>
        <w:fldChar w:fldCharType="end"/>
      </w:r>
    </w:p>
    <w:p w:rsidR="003F26FA" w:rsidP="003F26FA">
      <w:pPr>
        <w:pStyle w:val="Version"/>
        <w:sectPr w:rsidSect="00187C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C17" w:rsidP="00187C17">
      <w:pPr>
        <w:pStyle w:val="SuperHeading"/>
      </w:pPr>
      <w:r w:rsidRPr="00187C17">
        <w:t>FDFSFGP2B Operate a grinding process</w:t>
      </w:r>
    </w:p>
    <w:p w:rsidR="00000000" w:rsidRPr="00187C17" w:rsidP="00187C17">
      <w:pPr>
        <w:pStyle w:val="Heading1"/>
      </w:pPr>
      <w:bookmarkStart w:id="1" w:name="O_320418"/>
      <w:bookmarkEnd w:id="1"/>
      <w:r w:rsidRPr="00187C17">
        <w:t>Modification History</w:t>
      </w:r>
    </w:p>
    <w:p w:rsidR="00000000" w:rsidRPr="00187C17" w:rsidP="00187C17">
      <w:pPr>
        <w:pStyle w:val="BodyText"/>
      </w:pPr>
      <w:r w:rsidRPr="00187C17">
        <w:t>Not applicable.</w:t>
      </w:r>
    </w:p>
    <w:p w:rsidR="00000000" w:rsidRPr="00187C17" w:rsidP="00187C17">
      <w:pPr>
        <w:pStyle w:val="AllowPageBreak"/>
      </w:pPr>
    </w:p>
    <w:p w:rsidR="00000000" w:rsidRPr="00187C17" w:rsidP="00187C17">
      <w:pPr>
        <w:pStyle w:val="Heading1"/>
      </w:pPr>
      <w:bookmarkStart w:id="2" w:name="O_320416"/>
      <w:bookmarkEnd w:id="2"/>
      <w:r w:rsidRPr="00187C17">
        <w:t>Unit Descriptor</w:t>
      </w:r>
    </w:p>
    <w:p w:rsidR="00000000" w:rsidRPr="00187C17" w:rsidP="00187C17">
      <w:pPr>
        <w:pStyle w:val="BodyText"/>
      </w:pPr>
      <w:r w:rsidRPr="00187C17">
        <w:t xml:space="preserve">This is a Specialist unit. It covers the skills and knowledge required to set up, operate, adjust and shut down processes such as </w:t>
      </w:r>
      <w:r w:rsidRPr="00187C17">
        <w:t>grinding, rolling and breaking to reduce the particle size of grains and pulses.</w:t>
      </w:r>
    </w:p>
    <w:p w:rsidR="00000000" w:rsidRPr="00187C17" w:rsidP="00187C17">
      <w:pPr>
        <w:pStyle w:val="BodyText"/>
      </w:pPr>
      <w:r w:rsidRPr="00187C17">
        <w:t xml:space="preserve">This is a Specialist unit. It covers the skills and knowledge required to set up, operate, adjust and shut down processes such as grinding, rolling and breaking to reduce the </w:t>
      </w:r>
      <w:r w:rsidRPr="00187C17">
        <w:t>particle size of grains and pulses.</w:t>
      </w:r>
    </w:p>
    <w:p w:rsidR="00000000" w:rsidRPr="00187C17" w:rsidP="00187C17">
      <w:pPr>
        <w:pStyle w:val="AllowPageBreak"/>
      </w:pPr>
    </w:p>
    <w:p w:rsidR="00000000" w:rsidRPr="00187C17" w:rsidP="00187C17">
      <w:pPr>
        <w:pStyle w:val="Heading1"/>
      </w:pPr>
      <w:bookmarkStart w:id="3" w:name="O_320419"/>
      <w:bookmarkEnd w:id="3"/>
      <w:r w:rsidRPr="00187C17">
        <w:t>Application of the Unit</w:t>
      </w:r>
    </w:p>
    <w:p w:rsidR="00000000" w:rsidRPr="00187C17" w:rsidP="00187C17">
      <w:pPr>
        <w:pStyle w:val="BodyText"/>
      </w:pPr>
      <w:r w:rsidRPr="00187C17">
        <w:t>Not applicable.</w:t>
      </w:r>
    </w:p>
    <w:p w:rsidR="00000000" w:rsidRPr="00187C17" w:rsidP="00187C17">
      <w:pPr>
        <w:pStyle w:val="AllowPageBreak"/>
      </w:pPr>
    </w:p>
    <w:p w:rsidR="00000000" w:rsidRPr="00187C17" w:rsidP="00187C17">
      <w:pPr>
        <w:pStyle w:val="Heading1"/>
      </w:pPr>
      <w:bookmarkStart w:id="4" w:name="O_320426"/>
      <w:bookmarkEnd w:id="4"/>
      <w:r w:rsidRPr="00187C17">
        <w:t>Licensing/Regulatory Information</w:t>
      </w:r>
    </w:p>
    <w:p w:rsidR="00000000" w:rsidRPr="00187C17" w:rsidP="00187C17">
      <w:pPr>
        <w:pStyle w:val="BodyText"/>
      </w:pPr>
      <w:r w:rsidRPr="00187C17">
        <w:t>Not applicable.</w:t>
      </w:r>
    </w:p>
    <w:p w:rsidR="00000000" w:rsidRPr="00187C17" w:rsidP="00187C17">
      <w:pPr>
        <w:pStyle w:val="AllowPageBreak"/>
      </w:pPr>
    </w:p>
    <w:p w:rsidR="00000000" w:rsidRPr="00187C17" w:rsidP="00187C17">
      <w:pPr>
        <w:pStyle w:val="Heading1"/>
      </w:pPr>
      <w:bookmarkStart w:id="5" w:name="O_320420"/>
      <w:bookmarkEnd w:id="5"/>
      <w:r w:rsidRPr="00187C17">
        <w:t>Pre-Requisites</w:t>
      </w:r>
    </w:p>
    <w:p w:rsidR="00000000" w:rsidRPr="00187C17" w:rsidP="00187C17">
      <w:pPr>
        <w:pStyle w:val="BodyText"/>
      </w:pPr>
      <w:r w:rsidRPr="00187C17">
        <w:t>Not applicable.</w:t>
      </w:r>
    </w:p>
    <w:p w:rsidR="00000000" w:rsidRPr="00187C17" w:rsidP="00187C17">
      <w:pPr>
        <w:pStyle w:val="AllowPageBreak"/>
      </w:pPr>
    </w:p>
    <w:p w:rsidR="00000000" w:rsidRPr="00187C17" w:rsidP="00187C17">
      <w:pPr>
        <w:pStyle w:val="Heading1"/>
      </w:pPr>
      <w:bookmarkStart w:id="6" w:name="O_320421"/>
      <w:bookmarkEnd w:id="6"/>
      <w:r w:rsidRPr="00187C17">
        <w:t>Employability Skills Information</w:t>
      </w:r>
    </w:p>
    <w:p w:rsidR="00000000" w:rsidRPr="00187C17" w:rsidP="00187C17">
      <w:pPr>
        <w:pStyle w:val="BodyText"/>
      </w:pPr>
      <w:r w:rsidRPr="00187C17">
        <w:t>Not applicable.</w:t>
      </w:r>
    </w:p>
    <w:p w:rsidR="00000000" w:rsidRPr="00187C17" w:rsidP="00187C17">
      <w:pPr>
        <w:pStyle w:val="AllowPageBreak"/>
      </w:pPr>
    </w:p>
    <w:p w:rsidR="00000000" w:rsidRPr="00187C17" w:rsidP="00187C17">
      <w:pPr>
        <w:pStyle w:val="Heading1"/>
      </w:pPr>
      <w:bookmarkStart w:id="7" w:name="O_320422"/>
      <w:bookmarkEnd w:id="7"/>
      <w:r w:rsidRPr="00187C17">
        <w:t>Elements and Performance Criteria Pre-Content</w:t>
      </w:r>
    </w:p>
    <w:p w:rsidR="00000000" w:rsidRPr="00187C17" w:rsidP="00187C17">
      <w:pPr>
        <w:pStyle w:val="BodyText"/>
      </w:pPr>
      <w:r w:rsidRPr="00187C17">
        <w:t>Not applicable.</w:t>
      </w:r>
    </w:p>
    <w:p w:rsidR="00000000" w:rsidRPr="00187C17" w:rsidP="00187C17">
      <w:pPr>
        <w:pStyle w:val="AllowPageBreak"/>
      </w:pPr>
    </w:p>
    <w:p w:rsidR="00000000" w:rsidRPr="00187C17" w:rsidP="00187C17">
      <w:pPr>
        <w:pStyle w:val="Heading1"/>
      </w:pPr>
      <w:bookmarkStart w:id="8" w:name="O_320423"/>
      <w:bookmarkEnd w:id="8"/>
      <w:r w:rsidRPr="00187C1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F26F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rPr>
                <w:rStyle w:val="SpecialBold"/>
              </w:rPr>
              <w:t>Elements and Performance Criteria</w:t>
            </w:r>
          </w:p>
        </w:tc>
      </w:tr>
      <w:tr w:rsidTr="003F26F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87C17" w:rsidP="00187C17">
            <w:pPr>
              <w:pStyle w:val="BodyText"/>
            </w:pPr>
            <w:r w:rsidRPr="00187C1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rPr>
                <w:rStyle w:val="SpecialBold"/>
              </w:rPr>
              <w:t>Performance Criteria</w:t>
            </w:r>
          </w:p>
        </w:tc>
      </w:tr>
      <w:tr w:rsidTr="003F26F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1</w:t>
            </w:r>
          </w:p>
        </w:tc>
        <w:tc>
          <w:tcPr>
            <w:tcW w:w="3000" w:type="dxa"/>
            <w:vMerge w:val="restart"/>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 xml:space="preserve">Prepare the grinding equipment and process for operation </w:t>
            </w: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1.1</w:t>
            </w:r>
          </w:p>
        </w:tc>
        <w:tc>
          <w:tcPr>
            <w:tcW w:w="51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Materials are confirmed and available to meet production requirements</w:t>
            </w:r>
          </w:p>
        </w:tc>
      </w:tr>
      <w:tr w:rsidTr="003F26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1.2</w:t>
            </w:r>
          </w:p>
        </w:tc>
        <w:tc>
          <w:tcPr>
            <w:tcW w:w="51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Cleaning and maintenance requirements and status are identified and confirmed</w:t>
            </w:r>
          </w:p>
        </w:tc>
      </w:tr>
      <w:tr w:rsidTr="003F26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1.3</w:t>
            </w:r>
          </w:p>
        </w:tc>
        <w:tc>
          <w:tcPr>
            <w:tcW w:w="51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Machine components and related attachments are fitted and adjusted to meet operating requirements</w:t>
            </w:r>
          </w:p>
        </w:tc>
      </w:tr>
      <w:tr w:rsidTr="003F26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1.4</w:t>
            </w:r>
          </w:p>
        </w:tc>
        <w:tc>
          <w:tcPr>
            <w:tcW w:w="51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Processing/operating parameters are entered as required to meet safety and production requirements</w:t>
            </w:r>
          </w:p>
        </w:tc>
      </w:tr>
      <w:tr w:rsidTr="003F26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1.5</w:t>
            </w:r>
          </w:p>
        </w:tc>
        <w:tc>
          <w:tcPr>
            <w:tcW w:w="51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Equipment performance is checked and adjusted</w:t>
            </w:r>
            <w:r w:rsidRPr="00187C17">
              <w:t xml:space="preserve"> as required</w:t>
            </w:r>
          </w:p>
        </w:tc>
      </w:tr>
      <w:tr w:rsidTr="003F26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1.6</w:t>
            </w:r>
          </w:p>
        </w:tc>
        <w:tc>
          <w:tcPr>
            <w:tcW w:w="51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Pre-start checks are carried out as required by workplace requirements</w:t>
            </w:r>
          </w:p>
        </w:tc>
      </w:tr>
      <w:tr w:rsidTr="003F26F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2</w:t>
            </w:r>
          </w:p>
        </w:tc>
        <w:tc>
          <w:tcPr>
            <w:tcW w:w="3000" w:type="dxa"/>
            <w:vMerge w:val="restart"/>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Operate and monitor the grinding process</w:t>
            </w: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2.1</w:t>
            </w:r>
          </w:p>
        </w:tc>
        <w:tc>
          <w:tcPr>
            <w:tcW w:w="51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The process is started and operated according to workplace procedures</w:t>
            </w:r>
          </w:p>
        </w:tc>
      </w:tr>
      <w:tr w:rsidTr="003F26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2.2</w:t>
            </w:r>
          </w:p>
        </w:tc>
        <w:tc>
          <w:tcPr>
            <w:tcW w:w="51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Equipment is monitored to identify variation in operating conditions</w:t>
            </w:r>
          </w:p>
        </w:tc>
      </w:tr>
      <w:tr w:rsidTr="003F26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2.3</w:t>
            </w:r>
          </w:p>
        </w:tc>
        <w:tc>
          <w:tcPr>
            <w:tcW w:w="51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Variation in equipment operation is identified and maintenance requirements are reported according to workplace reporting requirements</w:t>
            </w:r>
          </w:p>
        </w:tc>
      </w:tr>
      <w:tr w:rsidTr="003F26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2.4</w:t>
            </w:r>
          </w:p>
        </w:tc>
        <w:tc>
          <w:tcPr>
            <w:tcW w:w="51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The process is monitored to confirm that specifications are met</w:t>
            </w:r>
          </w:p>
        </w:tc>
      </w:tr>
      <w:tr w:rsidTr="003F26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2.5</w:t>
            </w:r>
          </w:p>
        </w:tc>
        <w:tc>
          <w:tcPr>
            <w:tcW w:w="51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Out-of-specification product/process outcomes are identified, rectified and/or reported to maintain the process within specification</w:t>
            </w:r>
          </w:p>
        </w:tc>
      </w:tr>
      <w:tr w:rsidTr="003F26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2.6</w:t>
            </w:r>
          </w:p>
        </w:tc>
        <w:tc>
          <w:tcPr>
            <w:tcW w:w="51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Workplace housekeeping standards are maintain</w:t>
            </w:r>
            <w:r w:rsidRPr="00187C17">
              <w:t>ed</w:t>
            </w:r>
          </w:p>
        </w:tc>
      </w:tr>
      <w:tr w:rsidTr="003F26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2.7</w:t>
            </w:r>
          </w:p>
        </w:tc>
        <w:tc>
          <w:tcPr>
            <w:tcW w:w="51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Workplace records are maintained according to workplace recording requirements</w:t>
            </w:r>
          </w:p>
        </w:tc>
      </w:tr>
      <w:tr w:rsidTr="003F26F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3</w:t>
            </w:r>
          </w:p>
        </w:tc>
        <w:tc>
          <w:tcPr>
            <w:tcW w:w="3000" w:type="dxa"/>
            <w:vMerge w:val="restart"/>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Shut down the grinding process</w:t>
            </w: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3.1</w:t>
            </w:r>
          </w:p>
        </w:tc>
        <w:tc>
          <w:tcPr>
            <w:tcW w:w="51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The appropriate shutdown procedure is identified</w:t>
            </w:r>
          </w:p>
        </w:tc>
      </w:tr>
      <w:tr w:rsidTr="003F26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3.2</w:t>
            </w:r>
          </w:p>
        </w:tc>
        <w:tc>
          <w:tcPr>
            <w:tcW w:w="51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 xml:space="preserve">The process is shut down according to workplace </w:t>
            </w:r>
            <w:r w:rsidRPr="00187C17">
              <w:t>procedures</w:t>
            </w:r>
          </w:p>
        </w:tc>
      </w:tr>
      <w:tr w:rsidTr="003F26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7C17">
            <w:pPr>
              <w:pStyle w:val="BodyText"/>
              <w:rPr>
                <w:lang w:val="en-NZ"/>
              </w:rPr>
            </w:pPr>
            <w:r w:rsidRPr="00187C17">
              <w:t>3.3</w:t>
            </w:r>
          </w:p>
        </w:tc>
        <w:tc>
          <w:tcPr>
            <w:tcW w:w="5100" w:type="dxa"/>
            <w:tcBorders>
              <w:top w:val="nil"/>
              <w:left w:val="nil"/>
              <w:bottom w:val="nil"/>
              <w:right w:val="nil"/>
            </w:tcBorders>
            <w:tcMar>
              <w:top w:w="0" w:type="dxa"/>
              <w:left w:w="62" w:type="dxa"/>
              <w:bottom w:w="0" w:type="dxa"/>
              <w:right w:w="62" w:type="dxa"/>
            </w:tcMar>
          </w:tcPr>
          <w:p w:rsidR="00000000" w:rsidRPr="00187C17" w:rsidP="00187C17">
            <w:pPr>
              <w:pStyle w:val="BodyText"/>
            </w:pPr>
            <w:r w:rsidRPr="00187C17">
              <w:t>Maintenance requirements are identified and reported</w:t>
            </w:r>
          </w:p>
        </w:tc>
      </w:tr>
    </w:tbl>
    <w:p w:rsidR="00000000" w:rsidRPr="00187C17" w:rsidP="00187C17">
      <w:pPr>
        <w:pStyle w:val="BodyText"/>
      </w:pPr>
    </w:p>
    <w:p w:rsidR="00000000" w:rsidRPr="00187C17" w:rsidP="00187C17">
      <w:pPr>
        <w:pStyle w:val="AllowPageBreak"/>
      </w:pPr>
    </w:p>
    <w:p w:rsidR="00000000" w:rsidRPr="00187C17" w:rsidP="00187C17">
      <w:pPr>
        <w:pStyle w:val="Heading1"/>
      </w:pPr>
      <w:bookmarkStart w:id="9" w:name="O_320424"/>
      <w:bookmarkEnd w:id="9"/>
      <w:r w:rsidRPr="00187C17">
        <w:t>Required Skills and Knowledge</w:t>
      </w:r>
    </w:p>
    <w:p w:rsidR="00000000" w:rsidRPr="00187C17" w:rsidP="00187C17">
      <w:pPr>
        <w:pStyle w:val="BodyText"/>
      </w:pPr>
      <w:r w:rsidRPr="00187C17">
        <w:t>Not applicable.</w:t>
      </w:r>
    </w:p>
    <w:p w:rsidR="00000000" w:rsidRPr="00187C17" w:rsidP="00187C17">
      <w:pPr>
        <w:pStyle w:val="AllowPageBreak"/>
      </w:pPr>
    </w:p>
    <w:p w:rsidR="00000000" w:rsidRPr="00187C17" w:rsidP="00187C17">
      <w:pPr>
        <w:pStyle w:val="Heading1"/>
      </w:pPr>
      <w:bookmarkStart w:id="10" w:name="O_320425"/>
      <w:bookmarkEnd w:id="10"/>
      <w:r w:rsidRPr="00187C17">
        <w:t>Evidence Guide</w:t>
      </w:r>
    </w:p>
    <w:p w:rsidR="00000000" w:rsidRPr="00187C17" w:rsidP="00187C17">
      <w:pPr>
        <w:pStyle w:val="BodyText"/>
      </w:pPr>
      <w:r w:rsidRPr="00187C17">
        <w:t>The assessment process must address all of the following items of evidence.</w:t>
      </w:r>
    </w:p>
    <w:p w:rsidR="00000000" w:rsidRPr="00187C17" w:rsidP="00187C17">
      <w:pPr>
        <w:pStyle w:val="BodyText"/>
      </w:pPr>
      <w:r w:rsidRPr="00187C17">
        <w:rPr>
          <w:rStyle w:val="SpecialBold"/>
        </w:rPr>
        <w:t>Ability to</w:t>
      </w:r>
      <w:r w:rsidRPr="00187C17">
        <w:t>:</w:t>
      </w:r>
    </w:p>
    <w:p w:rsidR="00000000" w:rsidRPr="00187C17" w:rsidP="00187C17">
      <w:pPr>
        <w:pStyle w:val="BodyText"/>
      </w:pPr>
      <w:r w:rsidRPr="00187C17">
        <w:t xml:space="preserve">1. Access workplace information to identify processing requirements </w:t>
      </w:r>
      <w:r w:rsidRPr="00187C17">
        <w:br/>
        <w:t>2. Select, fit and use personal protective clothing and/or equipment</w:t>
      </w:r>
      <w:r w:rsidRPr="00187C17">
        <w:br/>
        <w:t>3. Confirm supply of necessary materials and services to the grinding process</w:t>
      </w:r>
      <w:r w:rsidRPr="00187C17">
        <w:br/>
        <w:t>4. Conduct pre-start checks. This may in</w:t>
      </w:r>
      <w:r w:rsidRPr="00187C17">
        <w:t>volve inspecting equipment condition to identify any signs of wear; selecting appropriate settings and/or related parameters; cancelling isolation or lockouts as required; confirming that equipment is clean and correctly configured for processing requireme</w:t>
      </w:r>
      <w:r w:rsidRPr="00187C17">
        <w:t>nts; sensors and controls are correctly positioned; any scheduled maintenance has been carried out, and that all safety guards are in place and operational</w:t>
      </w:r>
      <w:r w:rsidRPr="00187C17">
        <w:br/>
        <w:t>5. Operate stockfeed control panel to transfer and grind product</w:t>
      </w:r>
      <w:r w:rsidRPr="00187C17">
        <w:br/>
        <w:t xml:space="preserve">6. Monitor and adjust the grinding </w:t>
      </w:r>
      <w:r w:rsidRPr="00187C17">
        <w:t>process and equipment operation to achieve required outcomes. This may include monitoring control points and conducting inspections as required to confirm process remains within specification, and running adjustments to hammer mills and roller mills</w:t>
      </w:r>
      <w:r w:rsidRPr="00187C17">
        <w:br/>
        <w:t>7. Mon</w:t>
      </w:r>
      <w:r w:rsidRPr="00187C17">
        <w:t>itor supply and flow of materials to and from the grinding process</w:t>
      </w:r>
      <w:r w:rsidRPr="00187C17">
        <w:br/>
        <w:t>8. Take corrective action in response to out-of-specification results</w:t>
      </w:r>
      <w:r w:rsidRPr="00187C17">
        <w:br/>
        <w:t>9. Respond to and/or report equipment failure within level of responsibility</w:t>
      </w:r>
      <w:r w:rsidRPr="00187C17">
        <w:br/>
        <w:t>10. Locate emergency stop functions on equ</w:t>
      </w:r>
      <w:r w:rsidRPr="00187C17">
        <w:t>ipment</w:t>
      </w:r>
      <w:r w:rsidRPr="00187C17">
        <w:br/>
        <w:t xml:space="preserve">11. Follow isolation and lock out/tag out procedures as required to take process and related equipment off-line in preparation for cleaning and/or maintenance within level of responsibility </w:t>
      </w:r>
      <w:r w:rsidRPr="00187C17">
        <w:br/>
        <w:t xml:space="preserve">12. Complete workplace records as required </w:t>
      </w:r>
      <w:r w:rsidRPr="00187C17">
        <w:br/>
        <w:t>13. Demonstrat</w:t>
      </w:r>
      <w:r w:rsidRPr="00187C17">
        <w:t xml:space="preserve">e batch/product changeovers </w:t>
      </w:r>
      <w:r w:rsidRPr="00187C17">
        <w:br/>
        <w:t>14. Sort, collect, treat, recycle or dispose of waste</w:t>
      </w:r>
      <w:r w:rsidRPr="00187C17">
        <w:br/>
        <w:t>15. Maintain work area to meet housekeeping standards</w:t>
      </w:r>
    </w:p>
    <w:p w:rsidR="00000000" w:rsidRPr="00187C17" w:rsidP="00187C17">
      <w:pPr>
        <w:pStyle w:val="BodyText"/>
      </w:pPr>
      <w:r w:rsidRPr="00187C17">
        <w:rPr>
          <w:rStyle w:val="SpecialBold"/>
        </w:rPr>
        <w:t>May include ability to</w:t>
      </w:r>
      <w:r w:rsidRPr="00187C17">
        <w:t>:</w:t>
      </w:r>
    </w:p>
    <w:p w:rsidR="00000000" w:rsidRPr="00187C17" w:rsidP="00187C17">
      <w:pPr>
        <w:pStyle w:val="BodyText"/>
      </w:pPr>
      <w:r w:rsidRPr="00187C17">
        <w:t>16. Collect samples and conduct tests</w:t>
      </w:r>
      <w:r w:rsidRPr="00187C17">
        <w:br/>
        <w:t>17. Conduct routine maintenance</w:t>
      </w:r>
      <w:r w:rsidRPr="00187C17">
        <w:br/>
        <w:t>18. Clean and sanitize eq</w:t>
      </w:r>
      <w:r w:rsidRPr="00187C17">
        <w:t xml:space="preserve">uipment </w:t>
      </w:r>
    </w:p>
    <w:p w:rsidR="00000000" w:rsidRPr="00187C17" w:rsidP="00187C17">
      <w:pPr>
        <w:pStyle w:val="BodyText"/>
      </w:pPr>
      <w:r w:rsidRPr="00187C17">
        <w:rPr>
          <w:rStyle w:val="SpecialBold"/>
        </w:rPr>
        <w:t>Knowledge of</w:t>
      </w:r>
      <w:r w:rsidRPr="00187C17">
        <w:t>:</w:t>
      </w:r>
    </w:p>
    <w:p w:rsidR="00000000" w:rsidRPr="00187C17" w:rsidP="00187C17">
      <w:pPr>
        <w:pStyle w:val="BodyText"/>
      </w:pPr>
      <w:r w:rsidRPr="00187C17">
        <w:t>19. Purpose and basic principles of the grinding process. This includes a basic understanding of the characteristics of materials which can be reduced to a suitable form for stockfeed</w:t>
      </w:r>
      <w:r w:rsidRPr="00187C17">
        <w:br/>
        <w:t>20. Basic operating principles of equipment. This</w:t>
      </w:r>
      <w:r w:rsidRPr="00187C17">
        <w:t xml:space="preserve"> may include an operational understanding of main equipment components, bulk materials transfer systems and equipment, dust collection equipment, grinding equipment operating capacities and applications, and the purpose and location of magnets, sensors and</w:t>
      </w:r>
      <w:r w:rsidRPr="00187C17">
        <w:t xml:space="preserve"> related feedback instrumentation. It also includes knowledge of services required and action to take if services are not available</w:t>
      </w:r>
      <w:r w:rsidRPr="00187C17">
        <w:br/>
        <w:t>21. Basic operating principles of process control. This includes the relationship between control panels and systems and the</w:t>
      </w:r>
      <w:r w:rsidRPr="00187C17">
        <w:t xml:space="preserve"> physical equipment </w:t>
      </w:r>
      <w:r w:rsidRPr="00187C17">
        <w:br/>
        <w:t>22. The flow of the grinding process and the effect of product output on downstream processes</w:t>
      </w:r>
      <w:r w:rsidRPr="00187C17">
        <w:br/>
        <w:t>23. Quality characteristics and uses of grinding process outputs</w:t>
      </w:r>
      <w:r w:rsidRPr="00187C17">
        <w:br/>
        <w:t xml:space="preserve">24. Effect of the grinding process on the end product </w:t>
      </w:r>
      <w:r w:rsidRPr="00187C17">
        <w:br/>
        <w:t>25. Effect of raw mat</w:t>
      </w:r>
      <w:r w:rsidRPr="00187C17">
        <w:t xml:space="preserve">erial characteristics on grinding process performance </w:t>
      </w:r>
      <w:r w:rsidRPr="00187C17">
        <w:br/>
        <w:t>26. Operating requirements and parameters and corrective action required where operation is outside specified operating parameters</w:t>
      </w:r>
      <w:r w:rsidRPr="00187C17">
        <w:br/>
        <w:t>27. Typical equipment faults and related causes. This includes recogni</w:t>
      </w:r>
      <w:r w:rsidRPr="00187C17">
        <w:t>tion of signs and symptoms of faulty equipment and early warning signs of potential problems</w:t>
      </w:r>
      <w:r w:rsidRPr="00187C17">
        <w:br/>
        <w:t>28. Techniques used to monitor the production process. This may include inspecting, measuring and testing as required by the process. It requires awareness of insp</w:t>
      </w:r>
      <w:r w:rsidRPr="00187C17">
        <w:t xml:space="preserve">ection or test points (control points) in the process and the related procedures and recording requirements </w:t>
      </w:r>
      <w:r w:rsidRPr="00187C17">
        <w:br/>
        <w:t>29. Contamination/food safety risks associated with the grinding process and related control measures</w:t>
      </w:r>
      <w:r w:rsidRPr="00187C17">
        <w:br/>
        <w:t>30. Common causes of variation and corrective</w:t>
      </w:r>
      <w:r w:rsidRPr="00187C17">
        <w:t xml:space="preserve"> action required</w:t>
      </w:r>
      <w:r w:rsidRPr="00187C17">
        <w:br/>
        <w:t>31. OHS hazards and controls including the risk of dust explosion and an understanding of the limitations of protective clothing and equipment relevant to the work process</w:t>
      </w:r>
      <w:r w:rsidRPr="00187C17">
        <w:br/>
        <w:t>32. Requirements of different shutdowns as appropriate to the proce</w:t>
      </w:r>
      <w:r w:rsidRPr="00187C17">
        <w:t>ss and workplace production requirements. This includes emergency and routine shutdowns and procedures to follow in the event of a power outage</w:t>
      </w:r>
      <w:r w:rsidRPr="00187C17">
        <w:br/>
        <w:t>33. Product/process changeover procedures and responsibilities</w:t>
      </w:r>
      <w:r w:rsidRPr="00187C17">
        <w:br/>
        <w:t>34. Isolation, lock out and tag out procedures an</w:t>
      </w:r>
      <w:r w:rsidRPr="00187C17">
        <w:t>d responsibilities</w:t>
      </w:r>
      <w:r w:rsidRPr="00187C17">
        <w:br/>
        <w:t>35. Procedures and responsibility for reporting production and performance information</w:t>
      </w:r>
      <w:r w:rsidRPr="00187C17">
        <w:br/>
        <w:t xml:space="preserve">36. Environmental issues and controls relevant to the process. This includes waste/rework collection and handling procedures related to the process </w:t>
      </w:r>
    </w:p>
    <w:p w:rsidR="00000000" w:rsidRPr="00187C17" w:rsidP="00187C17">
      <w:pPr>
        <w:pStyle w:val="BodyText"/>
      </w:pPr>
      <w:r w:rsidRPr="00187C17">
        <w:rPr>
          <w:rStyle w:val="SpecialBold"/>
        </w:rPr>
        <w:t>M</w:t>
      </w:r>
      <w:r w:rsidRPr="00187C17">
        <w:rPr>
          <w:rStyle w:val="SpecialBold"/>
        </w:rPr>
        <w:t>ay include knowledge of</w:t>
      </w:r>
      <w:r w:rsidRPr="00187C17">
        <w:t>:</w:t>
      </w:r>
    </w:p>
    <w:p w:rsidR="00000000" w:rsidRPr="00187C17" w:rsidP="00187C17">
      <w:pPr>
        <w:pStyle w:val="BodyText"/>
      </w:pPr>
      <w:r w:rsidRPr="00187C17">
        <w:t>37. Sampling and testing associated with process monitoring and control</w:t>
      </w:r>
      <w:r w:rsidRPr="00187C17">
        <w:br/>
        <w:t>38. Routine maintenance procedures</w:t>
      </w:r>
      <w:r w:rsidRPr="00187C17">
        <w:br/>
        <w:t>39. Cleaning and sanitation procedures</w:t>
      </w:r>
    </w:p>
    <w:p w:rsidR="00000000" w:rsidRPr="00187C17" w:rsidP="00187C17">
      <w:pPr>
        <w:pStyle w:val="BodyText"/>
      </w:pPr>
      <w:r w:rsidRPr="00187C17">
        <w:rPr>
          <w:rStyle w:val="SpecialBold"/>
        </w:rPr>
        <w:t>Relationship with other standards</w:t>
      </w:r>
    </w:p>
    <w:p w:rsidR="00000000" w:rsidRPr="00187C17" w:rsidP="00187C17">
      <w:pPr>
        <w:pStyle w:val="BodyText"/>
      </w:pPr>
      <w:r w:rsidRPr="00187C17">
        <w:rPr>
          <w:rStyle w:val="SpecialBold"/>
        </w:rPr>
        <w:t>Pre</w:t>
      </w:r>
      <w:r w:rsidRPr="00187C17">
        <w:t>-</w:t>
      </w:r>
      <w:r w:rsidRPr="00187C17">
        <w:rPr>
          <w:rStyle w:val="SpecialBold"/>
        </w:rPr>
        <w:t>requisite units</w:t>
      </w:r>
    </w:p>
    <w:p w:rsidR="00000000" w:rsidRPr="00187C17" w:rsidP="00187C17">
      <w:pPr>
        <w:pStyle w:val="BodyText"/>
      </w:pPr>
      <w:r w:rsidRPr="00187C17">
        <w:t>There are no pre-requisite unit</w:t>
      </w:r>
      <w:r w:rsidRPr="00187C17">
        <w:t>s for this competency standard.</w:t>
      </w:r>
    </w:p>
    <w:p w:rsidR="00000000" w:rsidRPr="00187C17" w:rsidP="00187C17">
      <w:pPr>
        <w:pStyle w:val="BodyText"/>
      </w:pPr>
      <w:r w:rsidRPr="00187C17">
        <w:rPr>
          <w:rStyle w:val="SpecialBold"/>
        </w:rPr>
        <w:t>Co</w:t>
      </w:r>
      <w:r w:rsidRPr="00187C17">
        <w:t>-</w:t>
      </w:r>
      <w:r w:rsidRPr="00187C17">
        <w:rPr>
          <w:rStyle w:val="SpecialBold"/>
        </w:rPr>
        <w:t>assessment of related units</w:t>
      </w:r>
    </w:p>
    <w:p w:rsidR="00000000" w:rsidRPr="00187C17" w:rsidP="00187C17">
      <w:pPr>
        <w:pStyle w:val="BodyText"/>
      </w:pPr>
      <w:r w:rsidRPr="00187C17">
        <w:t>This unit should be assessed together with core units and other units of competence relevant to the function or work role. In addition, the following optional or ancillary units may be relevant</w:t>
      </w:r>
      <w:r w:rsidRPr="00187C17">
        <w:t>:</w:t>
      </w:r>
    </w:p>
    <w:p w:rsidR="00000000" w:rsidRPr="00187C17" w:rsidP="00187C17">
      <w:pPr>
        <w:pStyle w:val="BodyText"/>
      </w:pPr>
      <w:r w:rsidRPr="00187C17">
        <w:t>FDFZPRCI2A Operate a process control interface</w:t>
      </w:r>
    </w:p>
    <w:p w:rsidR="00000000" w:rsidRPr="00187C17" w:rsidP="00187C17">
      <w:pPr>
        <w:pStyle w:val="BodyText"/>
      </w:pPr>
      <w:r w:rsidRPr="00187C17">
        <w:t>FDFOPTISP2A Implement sampling procedures</w:t>
      </w:r>
    </w:p>
    <w:p w:rsidR="00000000" w:rsidRPr="00187C17" w:rsidP="00187C17">
      <w:pPr>
        <w:pStyle w:val="BodyText"/>
      </w:pPr>
      <w:r w:rsidRPr="00187C17">
        <w:t xml:space="preserve">PMLTEST300B Perform basic tests </w:t>
      </w:r>
    </w:p>
    <w:p w:rsidR="00000000" w:rsidRPr="00187C17" w:rsidP="00187C17">
      <w:pPr>
        <w:pStyle w:val="BodyText"/>
      </w:pPr>
      <w:r w:rsidRPr="00187C17">
        <w:t>FDFOPTCRM2A Conduct routine maintenance</w:t>
      </w:r>
    </w:p>
    <w:p w:rsidR="00000000" w:rsidRPr="00187C17" w:rsidP="00187C17">
      <w:pPr>
        <w:pStyle w:val="BodyText"/>
      </w:pPr>
      <w:r w:rsidRPr="00187C17">
        <w:t>FDFZCSCS2A Clean and sanitize equipment</w:t>
      </w:r>
    </w:p>
    <w:p w:rsidR="00000000" w:rsidRPr="00187C17" w:rsidP="00187C17">
      <w:pPr>
        <w:pStyle w:val="BodyText"/>
      </w:pPr>
      <w:r w:rsidRPr="00187C17">
        <w:rPr>
          <w:rStyle w:val="SpecialBold"/>
        </w:rPr>
        <w:t>Resources required for assessment</w:t>
      </w:r>
    </w:p>
    <w:p w:rsidR="00000000" w:rsidRPr="00187C17" w:rsidP="00187C17">
      <w:pPr>
        <w:pStyle w:val="BodyText"/>
      </w:pPr>
      <w:r w:rsidRPr="00187C17">
        <w:t>Assessment must occur in a real or simulated workplace where the assessee has access to:</w:t>
      </w:r>
    </w:p>
    <w:p w:rsidR="00000000" w:rsidRPr="00187C17" w:rsidP="00187C17">
      <w:pPr>
        <w:pStyle w:val="BodyText"/>
      </w:pPr>
      <w:r w:rsidRPr="00187C17">
        <w:t>Personal protective clothing and equipment</w:t>
      </w:r>
    </w:p>
    <w:p w:rsidR="00000000" w:rsidRPr="00187C17" w:rsidP="00187C17">
      <w:pPr>
        <w:pStyle w:val="BodyText"/>
      </w:pPr>
      <w:r w:rsidRPr="00187C17">
        <w:t>Work procedures including advice on safe work practices, food safety, quality and environmental requirements, stock flow sys</w:t>
      </w:r>
      <w:r w:rsidRPr="00187C17">
        <w:t>tems, production schedules, batch/recipe instructions</w:t>
      </w:r>
    </w:p>
    <w:p w:rsidR="00000000" w:rsidRPr="00187C17" w:rsidP="00187C17">
      <w:pPr>
        <w:pStyle w:val="BodyText"/>
      </w:pPr>
      <w:r w:rsidRPr="00187C17">
        <w:t>Specifications, control points and processing parameters</w:t>
      </w:r>
    </w:p>
    <w:p w:rsidR="00000000" w:rsidRPr="00187C17" w:rsidP="00187C17">
      <w:pPr>
        <w:pStyle w:val="BodyText"/>
      </w:pPr>
      <w:r w:rsidRPr="00187C17">
        <w:t>Production schedule/batch instructions</w:t>
      </w:r>
    </w:p>
    <w:p w:rsidR="00000000" w:rsidRPr="00187C17" w:rsidP="00187C17">
      <w:pPr>
        <w:pStyle w:val="BodyText"/>
      </w:pPr>
      <w:r w:rsidRPr="00187C17">
        <w:t>Information on equipment capacity and operating parameters</w:t>
      </w:r>
    </w:p>
    <w:p w:rsidR="00000000" w:rsidRPr="00187C17" w:rsidP="00187C17">
      <w:pPr>
        <w:pStyle w:val="BodyText"/>
      </w:pPr>
      <w:r w:rsidRPr="00187C17">
        <w:t>Grinding and related equipment and services</w:t>
      </w:r>
    </w:p>
    <w:p w:rsidR="00000000" w:rsidRPr="00187C17" w:rsidP="00187C17">
      <w:pPr>
        <w:pStyle w:val="BodyText"/>
      </w:pPr>
      <w:r w:rsidRPr="00187C17">
        <w:t>Sto</w:t>
      </w:r>
      <w:r w:rsidRPr="00187C17">
        <w:t>ck required for the grinding process</w:t>
      </w:r>
    </w:p>
    <w:p w:rsidR="00000000" w:rsidRPr="00187C17" w:rsidP="00187C17">
      <w:pPr>
        <w:pStyle w:val="BodyText"/>
      </w:pPr>
      <w:r w:rsidRPr="00187C17">
        <w:t>Sampling schedules and test procedures and equipment as required</w:t>
      </w:r>
    </w:p>
    <w:p w:rsidR="00000000" w:rsidRPr="00187C17" w:rsidP="00187C17">
      <w:pPr>
        <w:pStyle w:val="BodyText"/>
      </w:pPr>
      <w:r w:rsidRPr="00187C17">
        <w:t>Documentation and recording requirements and procedures</w:t>
      </w:r>
    </w:p>
    <w:p w:rsidR="00000000" w:rsidRPr="00187C17" w:rsidP="00187C17">
      <w:pPr>
        <w:pStyle w:val="BodyText"/>
      </w:pPr>
      <w:r w:rsidRPr="00187C17">
        <w:t>Cleaning procedures, materials and equipment as required</w:t>
      </w:r>
    </w:p>
    <w:p w:rsidR="00000000" w:rsidRPr="00187C17" w:rsidP="00187C17">
      <w:pPr>
        <w:pStyle w:val="BodyText"/>
      </w:pPr>
      <w:r w:rsidRPr="00187C17">
        <w:rPr>
          <w:rStyle w:val="SpecialBold"/>
        </w:rPr>
        <w:t>Assessment requirements</w:t>
      </w:r>
    </w:p>
    <w:p w:rsidR="00000000" w:rsidRPr="00187C17" w:rsidP="00187C17">
      <w:pPr>
        <w:pStyle w:val="BodyText"/>
      </w:pPr>
      <w:r w:rsidRPr="00187C17">
        <w:t>For information o</w:t>
      </w:r>
      <w:r w:rsidRPr="00187C17">
        <w:t>n how to assess this competency standard and who can assess, refer to the Assessment Guidelines for this Training Package.</w:t>
      </w:r>
    </w:p>
    <w:p w:rsidR="00000000" w:rsidRPr="00187C17" w:rsidP="00187C17">
      <w:pPr>
        <w:pStyle w:val="BodyText"/>
      </w:pPr>
      <w:r w:rsidRPr="00187C17">
        <w:t>The assessment process must address all of the following items of evidence.</w:t>
      </w:r>
    </w:p>
    <w:p w:rsidR="00000000" w:rsidRPr="00187C17" w:rsidP="00187C17">
      <w:pPr>
        <w:pStyle w:val="BodyText"/>
      </w:pPr>
      <w:r w:rsidRPr="00187C17">
        <w:rPr>
          <w:rStyle w:val="SpecialBold"/>
        </w:rPr>
        <w:t>Ability to</w:t>
      </w:r>
      <w:r w:rsidRPr="00187C17">
        <w:t>:</w:t>
      </w:r>
    </w:p>
    <w:p w:rsidR="00000000" w:rsidRPr="00187C17" w:rsidP="00187C17">
      <w:pPr>
        <w:pStyle w:val="BodyText"/>
      </w:pPr>
      <w:r w:rsidRPr="00187C17">
        <w:t>1. Access workplace information to identify p</w:t>
      </w:r>
      <w:r w:rsidRPr="00187C17">
        <w:t xml:space="preserve">rocessing requirements </w:t>
      </w:r>
      <w:r w:rsidRPr="00187C17">
        <w:br/>
        <w:t>2. Select, fit and use personal protective clothing and/or equipment</w:t>
      </w:r>
      <w:r w:rsidRPr="00187C17">
        <w:br/>
        <w:t>3. Confirm supply of necessary materials and services to the grinding process</w:t>
      </w:r>
      <w:r w:rsidRPr="00187C17">
        <w:br/>
        <w:t>4. Conduct pre-start checks. This may involve inspecting equipment condition to ident</w:t>
      </w:r>
      <w:r w:rsidRPr="00187C17">
        <w:t>ify any signs of wear; selecting appropriate settings and/or related parameters; cancelling isolation or lockouts as required; confirming that equipment is clean and correctly configured for processing requirements; sensors and controls are correctly posit</w:t>
      </w:r>
      <w:r w:rsidRPr="00187C17">
        <w:t>ioned; any scheduled maintenance has been carried out, and that all safety guards are in place and operational</w:t>
      </w:r>
      <w:r w:rsidRPr="00187C17">
        <w:br/>
        <w:t>5. Operate stockfeed control panel to transfer and grind product</w:t>
      </w:r>
      <w:r w:rsidRPr="00187C17">
        <w:br/>
        <w:t>6. Monitor and adjust the grinding process and equipment operation to achieve re</w:t>
      </w:r>
      <w:r w:rsidRPr="00187C17">
        <w:t>quired outcomes. This may include monitoring control points and conducting inspections as required to confirm process remains within specification, and running adjustments to hammer mills and roller mills</w:t>
      </w:r>
      <w:r w:rsidRPr="00187C17">
        <w:br/>
        <w:t>7. Monitor supply and flow of materials to and from</w:t>
      </w:r>
      <w:r w:rsidRPr="00187C17">
        <w:t xml:space="preserve"> the grinding process</w:t>
      </w:r>
      <w:r w:rsidRPr="00187C17">
        <w:br/>
        <w:t>8. Take corrective action in response to out-of-specification results</w:t>
      </w:r>
      <w:r w:rsidRPr="00187C17">
        <w:br/>
        <w:t>9. Respond to and/or report equipment failure within level of responsibility</w:t>
      </w:r>
      <w:r w:rsidRPr="00187C17">
        <w:br/>
        <w:t>10. Locate emergency stop functions on equipment</w:t>
      </w:r>
      <w:r w:rsidRPr="00187C17">
        <w:br/>
        <w:t xml:space="preserve">11. Follow isolation and lock out/tag </w:t>
      </w:r>
      <w:r w:rsidRPr="00187C17">
        <w:t xml:space="preserve">out procedures as required to take process and related equipment off-line in preparation for cleaning and/or maintenance within level of responsibility </w:t>
      </w:r>
      <w:r w:rsidRPr="00187C17">
        <w:br/>
        <w:t xml:space="preserve">12. Complete workplace records as required </w:t>
      </w:r>
      <w:r w:rsidRPr="00187C17">
        <w:br/>
      </w:r>
      <w:r w:rsidRPr="00187C17">
        <w:t xml:space="preserve">13. Demonstrate batch/product changeovers </w:t>
      </w:r>
      <w:r w:rsidRPr="00187C17">
        <w:br/>
        <w:t>14. Sort, collec</w:t>
      </w:r>
      <w:r w:rsidRPr="00187C17">
        <w:t>t, treat, recycle or dispose of waste</w:t>
      </w:r>
      <w:r w:rsidRPr="00187C17">
        <w:br/>
        <w:t>15. Maintain work area to meet housekeeping standards</w:t>
      </w:r>
    </w:p>
    <w:p w:rsidR="00000000" w:rsidRPr="00187C17" w:rsidP="00187C17">
      <w:pPr>
        <w:pStyle w:val="BodyText"/>
      </w:pPr>
      <w:r w:rsidRPr="00187C17">
        <w:rPr>
          <w:rStyle w:val="SpecialBold"/>
        </w:rPr>
        <w:t>May include ability to</w:t>
      </w:r>
      <w:r w:rsidRPr="00187C17">
        <w:t>:</w:t>
      </w:r>
    </w:p>
    <w:p w:rsidR="00000000" w:rsidRPr="00187C17" w:rsidP="00187C17">
      <w:pPr>
        <w:pStyle w:val="BodyText"/>
      </w:pPr>
      <w:r w:rsidRPr="00187C17">
        <w:t>16. Collect samples and conduct tests</w:t>
      </w:r>
      <w:r w:rsidRPr="00187C17">
        <w:br/>
        <w:t>17. Conduct routine maintenance</w:t>
      </w:r>
      <w:r w:rsidRPr="00187C17">
        <w:br/>
        <w:t xml:space="preserve">18. Clean and sanitize equipment </w:t>
      </w:r>
    </w:p>
    <w:p w:rsidR="00000000" w:rsidRPr="00187C17" w:rsidP="00187C17">
      <w:pPr>
        <w:pStyle w:val="BodyText"/>
      </w:pPr>
      <w:r w:rsidRPr="00187C17">
        <w:rPr>
          <w:rStyle w:val="SpecialBold"/>
        </w:rPr>
        <w:t>Knowledge of</w:t>
      </w:r>
      <w:r w:rsidRPr="00187C17">
        <w:t>:</w:t>
      </w:r>
    </w:p>
    <w:p w:rsidR="00000000" w:rsidRPr="00187C17" w:rsidP="00187C17">
      <w:pPr>
        <w:pStyle w:val="BodyText"/>
      </w:pPr>
      <w:r w:rsidRPr="00187C17">
        <w:t xml:space="preserve">19. Purpose and basic </w:t>
      </w:r>
      <w:r w:rsidRPr="00187C17">
        <w:t>principles of the grinding process. This includes a basic understanding of the characteristics of materials which can be reduced to a suitable form for stockfeed</w:t>
      </w:r>
      <w:r w:rsidRPr="00187C17">
        <w:br/>
        <w:t xml:space="preserve">20. Basic operating principles of equipment. This may include an operational understanding of </w:t>
      </w:r>
      <w:r w:rsidRPr="00187C17">
        <w:t>main equipment components, bulk materials transfer systems and equipment, dust collection equipment, grinding equipment operating capacities and applications, and the purpose and location of magnets, sensors and related feedback instrumentation. It also in</w:t>
      </w:r>
      <w:r w:rsidRPr="00187C17">
        <w:t>cludes knowledge of services required and action to take if services are not available</w:t>
      </w:r>
      <w:r w:rsidRPr="00187C17">
        <w:br/>
        <w:t xml:space="preserve">21. Basic operating principles of process control. This includes the relationship between control panels and systems and the physical equipment </w:t>
      </w:r>
      <w:r w:rsidRPr="00187C17">
        <w:br/>
        <w:t>22. The flow of the grin</w:t>
      </w:r>
      <w:r w:rsidRPr="00187C17">
        <w:t>ding process and the effect of product output on downstream processes</w:t>
      </w:r>
      <w:r w:rsidRPr="00187C17">
        <w:br/>
        <w:t>23. Quality characteristics and uses of grinding process outputs</w:t>
      </w:r>
      <w:r w:rsidRPr="00187C17">
        <w:br/>
        <w:t xml:space="preserve">24. Effect of the grinding process on the end product </w:t>
      </w:r>
      <w:r w:rsidRPr="00187C17">
        <w:br/>
        <w:t>25. Effect of raw material characteristics on grinding process per</w:t>
      </w:r>
      <w:r w:rsidRPr="00187C17">
        <w:t xml:space="preserve">formance </w:t>
      </w:r>
      <w:r w:rsidRPr="00187C17">
        <w:br/>
        <w:t>26. Operating requirements and parameters and corrective action required where operation is outside specified operating parameters</w:t>
      </w:r>
      <w:r w:rsidRPr="00187C17">
        <w:br/>
        <w:t>27. Typical equipment faults and related causes. This includes recognition of signs and symptoms of faulty equipmen</w:t>
      </w:r>
      <w:r w:rsidRPr="00187C17">
        <w:t>t and early warning signs of potential problems</w:t>
      </w:r>
      <w:r w:rsidRPr="00187C17">
        <w:br/>
        <w:t>28. Techniques used to monitor the production process. This may include inspecting, measuring and testing as required by the process. It requires awareness of inspection or test points (control points) in the</w:t>
      </w:r>
      <w:r w:rsidRPr="00187C17">
        <w:t xml:space="preserve"> process and the related procedures and recording requirements </w:t>
      </w:r>
      <w:r w:rsidRPr="00187C17">
        <w:br/>
        <w:t>29. Contamination/food safety risks associated with the grinding process and related control measures</w:t>
      </w:r>
      <w:r w:rsidRPr="00187C17">
        <w:br/>
        <w:t>30. Common causes of variation and corrective action required</w:t>
      </w:r>
      <w:r w:rsidRPr="00187C17">
        <w:br/>
        <w:t>31. OHS hazards and controls</w:t>
      </w:r>
      <w:r w:rsidRPr="00187C17">
        <w:t xml:space="preserve"> including the risk of dust explosion and an understanding of the limitations of protective clothing and equipment relevant to the work process</w:t>
      </w:r>
      <w:r w:rsidRPr="00187C17">
        <w:br/>
        <w:t>32. Requirements of different shutdowns as appropriate to the process and workplace production requirements. Thi</w:t>
      </w:r>
      <w:r w:rsidRPr="00187C17">
        <w:t>s includes emergency and routine shutdowns and procedures to follow in the event of a power outage</w:t>
      </w:r>
      <w:r w:rsidRPr="00187C17">
        <w:br/>
        <w:t>33. Product/process changeover procedures and responsibilities</w:t>
      </w:r>
      <w:r w:rsidRPr="00187C17">
        <w:br/>
        <w:t>34. Isolation, lock out and tag out procedures and responsibilities</w:t>
      </w:r>
      <w:r w:rsidRPr="00187C17">
        <w:br/>
        <w:t>35. Procedures and respons</w:t>
      </w:r>
      <w:r w:rsidRPr="00187C17">
        <w:t>ibility for reporting production and performance information</w:t>
      </w:r>
      <w:r w:rsidRPr="00187C17">
        <w:br/>
        <w:t xml:space="preserve">36. Environmental issues and controls relevant to the process. This includes waste/rework collection and handling procedures related to the process </w:t>
      </w:r>
    </w:p>
    <w:p w:rsidR="00000000" w:rsidRPr="00187C17" w:rsidP="00187C17">
      <w:pPr>
        <w:pStyle w:val="BodyText"/>
      </w:pPr>
      <w:r w:rsidRPr="00187C17">
        <w:rPr>
          <w:rStyle w:val="SpecialBold"/>
        </w:rPr>
        <w:t>May include knowledge of</w:t>
      </w:r>
      <w:r w:rsidRPr="00187C17">
        <w:t>:</w:t>
      </w:r>
    </w:p>
    <w:p w:rsidR="00000000" w:rsidRPr="00187C17" w:rsidP="00187C17">
      <w:pPr>
        <w:pStyle w:val="BodyText"/>
      </w:pPr>
      <w:r w:rsidRPr="00187C17">
        <w:t>37. Sampling and tes</w:t>
      </w:r>
      <w:r w:rsidRPr="00187C17">
        <w:t>ting associated with process monitoring and control</w:t>
      </w:r>
      <w:r w:rsidRPr="00187C17">
        <w:br/>
        <w:t>38. Routine maintenance procedures</w:t>
      </w:r>
      <w:r w:rsidRPr="00187C17">
        <w:br/>
        <w:t>39. Cleaning and sanitation procedures</w:t>
      </w:r>
    </w:p>
    <w:p w:rsidR="00000000" w:rsidRPr="00187C17" w:rsidP="00187C17">
      <w:pPr>
        <w:pStyle w:val="BodyText"/>
      </w:pPr>
      <w:r w:rsidRPr="00187C17">
        <w:rPr>
          <w:rStyle w:val="SpecialBold"/>
        </w:rPr>
        <w:t>Relationship with other standards</w:t>
      </w:r>
    </w:p>
    <w:p w:rsidR="00000000" w:rsidRPr="00187C17" w:rsidP="00187C17">
      <w:pPr>
        <w:pStyle w:val="BodyText"/>
      </w:pPr>
      <w:r w:rsidRPr="00187C17">
        <w:rPr>
          <w:rStyle w:val="SpecialBold"/>
        </w:rPr>
        <w:t>Pre</w:t>
      </w:r>
      <w:r w:rsidRPr="00187C17">
        <w:t>-</w:t>
      </w:r>
      <w:r w:rsidRPr="00187C17">
        <w:rPr>
          <w:rStyle w:val="SpecialBold"/>
        </w:rPr>
        <w:t>requisite units</w:t>
      </w:r>
    </w:p>
    <w:p w:rsidR="00000000" w:rsidRPr="00187C17" w:rsidP="00187C17">
      <w:pPr>
        <w:pStyle w:val="BodyText"/>
      </w:pPr>
      <w:r w:rsidRPr="00187C17">
        <w:t>There are no pre-requisite units for this competency standard.</w:t>
      </w:r>
    </w:p>
    <w:p w:rsidR="00000000" w:rsidRPr="00187C17" w:rsidP="00187C17">
      <w:pPr>
        <w:pStyle w:val="BodyText"/>
      </w:pPr>
      <w:r w:rsidRPr="00187C17">
        <w:rPr>
          <w:rStyle w:val="SpecialBold"/>
        </w:rPr>
        <w:t>Co</w:t>
      </w:r>
      <w:r w:rsidRPr="00187C17">
        <w:t>-</w:t>
      </w:r>
      <w:r w:rsidRPr="00187C17">
        <w:rPr>
          <w:rStyle w:val="SpecialBold"/>
        </w:rPr>
        <w:t>assessment of related units</w:t>
      </w:r>
    </w:p>
    <w:p w:rsidR="00000000" w:rsidRPr="00187C17" w:rsidP="00187C17">
      <w:pPr>
        <w:pStyle w:val="BodyText"/>
      </w:pPr>
      <w:r w:rsidRPr="00187C17">
        <w:t>This unit should be assessed together with core units and other units of competence relevant to the function or work role. In addition, the following optional or ancillary units may be relevant:</w:t>
      </w:r>
    </w:p>
    <w:p w:rsidR="00000000" w:rsidRPr="00187C17" w:rsidP="00187C17">
      <w:pPr>
        <w:pStyle w:val="BodyText"/>
      </w:pPr>
      <w:r w:rsidRPr="00187C17">
        <w:t>FDFZPRCI2A Operate a process cont</w:t>
      </w:r>
      <w:r w:rsidRPr="00187C17">
        <w:t>rol interface</w:t>
      </w:r>
    </w:p>
    <w:p w:rsidR="00000000" w:rsidRPr="00187C17" w:rsidP="00187C17">
      <w:pPr>
        <w:pStyle w:val="BodyText"/>
      </w:pPr>
      <w:r w:rsidRPr="00187C17">
        <w:t>FDFOPTISP2A Implement sampling procedures</w:t>
      </w:r>
    </w:p>
    <w:p w:rsidR="00000000" w:rsidRPr="00187C17" w:rsidP="00187C17">
      <w:pPr>
        <w:pStyle w:val="BodyText"/>
      </w:pPr>
      <w:r w:rsidRPr="00187C17">
        <w:t xml:space="preserve">PMLTEST300B Perform basic tests </w:t>
      </w:r>
    </w:p>
    <w:p w:rsidR="00000000" w:rsidRPr="00187C17" w:rsidP="00187C17">
      <w:pPr>
        <w:pStyle w:val="BodyText"/>
      </w:pPr>
      <w:r w:rsidRPr="00187C17">
        <w:t>FDFOPTCRM2A Conduct routine maintenance</w:t>
      </w:r>
    </w:p>
    <w:p w:rsidR="00000000" w:rsidRPr="00187C17" w:rsidP="00187C17">
      <w:pPr>
        <w:pStyle w:val="BodyText"/>
      </w:pPr>
      <w:r w:rsidRPr="00187C17">
        <w:t>FDFZCSCS2A Clean and sanitize equipment</w:t>
      </w:r>
    </w:p>
    <w:p w:rsidR="00000000" w:rsidRPr="00187C17" w:rsidP="00187C17">
      <w:pPr>
        <w:pStyle w:val="BodyText"/>
      </w:pPr>
      <w:r w:rsidRPr="00187C17">
        <w:rPr>
          <w:rStyle w:val="SpecialBold"/>
        </w:rPr>
        <w:t>Resources required for assessment</w:t>
      </w:r>
    </w:p>
    <w:p w:rsidR="00000000" w:rsidRPr="00187C17" w:rsidP="00187C17">
      <w:pPr>
        <w:pStyle w:val="BodyText"/>
      </w:pPr>
      <w:r w:rsidRPr="00187C17">
        <w:t>Assessment must occur in a real or simulated workplac</w:t>
      </w:r>
      <w:r w:rsidRPr="00187C17">
        <w:t>e where the assessee has access to:</w:t>
      </w:r>
    </w:p>
    <w:p w:rsidR="00000000" w:rsidRPr="00187C17" w:rsidP="00187C17">
      <w:pPr>
        <w:pStyle w:val="BodyText"/>
      </w:pPr>
      <w:r w:rsidRPr="00187C17">
        <w:t>Personal protective clothing and equipment</w:t>
      </w:r>
    </w:p>
    <w:p w:rsidR="00000000" w:rsidRPr="00187C17" w:rsidP="00187C17">
      <w:pPr>
        <w:pStyle w:val="BodyText"/>
      </w:pPr>
      <w:r w:rsidRPr="00187C17">
        <w:t>Work procedures including advice on safe work practices, food safety, quality and environmental requirements, stock flow systems, production schedules, batch/recipe instructions</w:t>
      </w:r>
    </w:p>
    <w:p w:rsidR="00000000" w:rsidRPr="00187C17" w:rsidP="00187C17">
      <w:pPr>
        <w:pStyle w:val="BodyText"/>
      </w:pPr>
      <w:r w:rsidRPr="00187C17">
        <w:t>Specifications, control points and processing parameters</w:t>
      </w:r>
    </w:p>
    <w:p w:rsidR="00000000" w:rsidRPr="00187C17" w:rsidP="00187C17">
      <w:pPr>
        <w:pStyle w:val="BodyText"/>
      </w:pPr>
      <w:r w:rsidRPr="00187C17">
        <w:t>Production schedule/batch instructions</w:t>
      </w:r>
    </w:p>
    <w:p w:rsidR="00000000" w:rsidRPr="00187C17" w:rsidP="00187C17">
      <w:pPr>
        <w:pStyle w:val="BodyText"/>
      </w:pPr>
      <w:r w:rsidRPr="00187C17">
        <w:t>Information on equipment capacity and operating parameters</w:t>
      </w:r>
    </w:p>
    <w:p w:rsidR="00000000" w:rsidRPr="00187C17" w:rsidP="00187C17">
      <w:pPr>
        <w:pStyle w:val="BodyText"/>
      </w:pPr>
      <w:r w:rsidRPr="00187C17">
        <w:t>Grinding and related equipment and services</w:t>
      </w:r>
    </w:p>
    <w:p w:rsidR="00000000" w:rsidRPr="00187C17" w:rsidP="00187C17">
      <w:pPr>
        <w:pStyle w:val="BodyText"/>
      </w:pPr>
      <w:r w:rsidRPr="00187C17">
        <w:t>Stock required for the grinding process</w:t>
      </w:r>
    </w:p>
    <w:p w:rsidR="00000000" w:rsidRPr="00187C17" w:rsidP="00187C17">
      <w:pPr>
        <w:pStyle w:val="BodyText"/>
      </w:pPr>
      <w:r w:rsidRPr="00187C17">
        <w:t>Sampling schedul</w:t>
      </w:r>
      <w:r w:rsidRPr="00187C17">
        <w:t>es and test procedures and equipment as required</w:t>
      </w:r>
    </w:p>
    <w:p w:rsidR="00000000" w:rsidRPr="00187C17" w:rsidP="00187C17">
      <w:pPr>
        <w:pStyle w:val="BodyText"/>
      </w:pPr>
      <w:r w:rsidRPr="00187C17">
        <w:t>Documentation and recording requirements and procedures</w:t>
      </w:r>
    </w:p>
    <w:p w:rsidR="00000000" w:rsidRPr="00187C17" w:rsidP="00187C17">
      <w:pPr>
        <w:pStyle w:val="BodyText"/>
      </w:pPr>
      <w:r w:rsidRPr="00187C17">
        <w:t>Cleaning procedures, materials and equipment as required</w:t>
      </w:r>
    </w:p>
    <w:p w:rsidR="00000000" w:rsidRPr="00187C17" w:rsidP="00187C17">
      <w:pPr>
        <w:pStyle w:val="BodyText"/>
      </w:pPr>
      <w:r w:rsidRPr="00187C17">
        <w:rPr>
          <w:rStyle w:val="SpecialBold"/>
        </w:rPr>
        <w:t>Assessment requirements</w:t>
      </w:r>
    </w:p>
    <w:p w:rsidR="003F26FA" w:rsidP="00187C17">
      <w:pPr>
        <w:pStyle w:val="BodyText"/>
      </w:pPr>
      <w:r w:rsidRPr="00187C17">
        <w:t xml:space="preserve">For information on how to assess this competency standard and who can </w:t>
      </w:r>
      <w:r w:rsidRPr="00187C17">
        <w:t>assess, refer to the Assessment Guidelines for this Training Package.</w:t>
      </w:r>
    </w:p>
    <w:p w:rsidR="003F26FA" w:rsidP="00187C17">
      <w:pPr>
        <w:pStyle w:val="BodyText"/>
      </w:pPr>
    </w:p>
    <w:p w:rsidR="00000000" w:rsidRPr="00187C17" w:rsidP="00187C17">
      <w:pPr>
        <w:pStyle w:val="Heading1"/>
      </w:pPr>
      <w:bookmarkStart w:id="11" w:name="O_320427"/>
      <w:bookmarkEnd w:id="11"/>
      <w:r w:rsidRPr="00187C17">
        <w:t>Range Statement</w:t>
      </w:r>
    </w:p>
    <w:p w:rsidR="00000000" w:rsidRPr="00187C17" w:rsidP="00187C17">
      <w:pPr>
        <w:pStyle w:val="BodyText"/>
      </w:pPr>
      <w:r w:rsidRPr="00187C17">
        <w:rPr>
          <w:rStyle w:val="SpecialBold"/>
        </w:rPr>
        <w:t>Range statement</w:t>
      </w:r>
    </w:p>
    <w:p w:rsidR="00000000" w:rsidRPr="00187C17" w:rsidP="00187C17">
      <w:pPr>
        <w:pStyle w:val="BodyText"/>
      </w:pPr>
      <w:r w:rsidRPr="00187C17">
        <w:t xml:space="preserve">The range statement indicates the context for demonstrating competence. This statement is a </w:t>
      </w:r>
      <w:r w:rsidRPr="00187C17">
        <w:t>guide and, unless otherwise indicated, items may or may not apply as required by the work context.</w:t>
      </w:r>
    </w:p>
    <w:p w:rsidR="00000000" w:rsidRPr="00187C17" w:rsidP="00187C17">
      <w:pPr>
        <w:pStyle w:val="BodyText"/>
      </w:pPr>
      <w:r w:rsidRPr="00187C17">
        <w:t xml:space="preserve">Work is carried out according to company policies and procedures, regulatory and licensing requirements, legislative requirements, and industrial awards and </w:t>
      </w:r>
      <w:r w:rsidRPr="00187C17">
        <w:t>agreements</w:t>
      </w:r>
    </w:p>
    <w:p w:rsidR="00000000" w:rsidRPr="00187C17" w:rsidP="00187C17">
      <w:pPr>
        <w:pStyle w:val="BodyText"/>
      </w:pPr>
      <w:r w:rsidRPr="00187C17">
        <w:t>Legislative requirements are typically reflected in procedures and specifications. Legislation relevant to this industry includes the labelling, weights and measures legislation; and legislation covering food safety, environmental mana</w:t>
      </w:r>
      <w:r w:rsidRPr="00187C17">
        <w:t xml:space="preserve">gement, occupational health and safety, anti-discrimination and equal opportunity </w:t>
      </w:r>
    </w:p>
    <w:p w:rsidR="00000000" w:rsidRPr="00187C17" w:rsidP="00187C17">
      <w:pPr>
        <w:pStyle w:val="BodyText"/>
      </w:pPr>
      <w:r w:rsidRPr="00187C17">
        <w:t>Workplace information may include Standard Operating Procedures (SOPs), specifications, production schedules and instructions, manufacturers' advice, standard forms and repo</w:t>
      </w:r>
      <w:r w:rsidRPr="00187C17">
        <w:t>rts</w:t>
      </w:r>
    </w:p>
    <w:p w:rsidR="00000000" w:rsidRPr="00187C17" w:rsidP="00187C17">
      <w:pPr>
        <w:pStyle w:val="BodyText"/>
      </w:pPr>
      <w:r w:rsidRPr="00187C17">
        <w:t>Equipment used in the grinding process may include conveyors/elevators, augers, magnets, fans, sieves, hammer mills, roller mills, breaker bars, and cyclones</w:t>
      </w:r>
    </w:p>
    <w:p w:rsidR="00000000" w:rsidRPr="00187C17" w:rsidP="00187C17">
      <w:pPr>
        <w:pStyle w:val="BodyText"/>
      </w:pPr>
      <w:r w:rsidRPr="00187C17">
        <w:t xml:space="preserve">Materials include grains and pulses. Pulses are legumes and typically include peas, beans and </w:t>
      </w:r>
      <w:r w:rsidRPr="00187C17">
        <w:t>lentils</w:t>
      </w:r>
    </w:p>
    <w:p w:rsidR="00000000" w:rsidRPr="00187C17" w:rsidP="00187C17">
      <w:pPr>
        <w:pStyle w:val="BodyText"/>
      </w:pPr>
      <w:r w:rsidRPr="00187C17">
        <w:t xml:space="preserve">Operators carry out changeovers within workplace arrangements and the relevant changeover procedures should be used to customise the details of this unit. Where more detailed changeovers are carried out, also refer to FDFOPTCRM2A </w:t>
      </w:r>
      <w:r w:rsidRPr="00187C17">
        <w:rPr>
          <w:rStyle w:val="SpecialBold"/>
        </w:rPr>
        <w:t>Conduct routine ma</w:t>
      </w:r>
      <w:r w:rsidRPr="00187C17">
        <w:rPr>
          <w:rStyle w:val="SpecialBold"/>
        </w:rPr>
        <w:t>intenance</w:t>
      </w:r>
    </w:p>
    <w:p w:rsidR="00000000" w:rsidRPr="00187C17" w:rsidP="00187C17">
      <w:pPr>
        <w:pStyle w:val="BodyText"/>
      </w:pPr>
      <w:r w:rsidRPr="00187C17">
        <w:t>Shutdown procedures may include cleaning. In some cases cleaning may be carried out by a dedicated cleaning crew</w:t>
      </w:r>
    </w:p>
    <w:p w:rsidR="00000000" w:rsidRPr="00187C17" w:rsidP="00187C17">
      <w:pPr>
        <w:pStyle w:val="BodyText"/>
      </w:pPr>
      <w:r w:rsidRPr="00187C17">
        <w:t>Services may need to be confirmed. These depend on the nature of the process. Typical examples include power, steam, water, vacuum, a</w:t>
      </w:r>
      <w:r w:rsidRPr="00187C17">
        <w:t>nd compressed and instrumentation air</w:t>
      </w:r>
    </w:p>
    <w:p w:rsidR="00000000" w:rsidRPr="00187C17" w:rsidP="00187C17">
      <w:pPr>
        <w:pStyle w:val="BodyText"/>
      </w:pPr>
      <w:r w:rsidRPr="00187C17">
        <w:rPr>
          <w:rStyle w:val="SpecialBold"/>
        </w:rPr>
        <w:t>Range statement</w:t>
      </w:r>
    </w:p>
    <w:p w:rsidR="00000000" w:rsidRPr="00187C17" w:rsidP="00187C17">
      <w:pPr>
        <w:pStyle w:val="BodyText"/>
      </w:pPr>
      <w:r w:rsidRPr="00187C17">
        <w:t>The range statement indicates the context for demonstrating competence. This statement is a guide and, unless otherwise indicated, items may or may not apply as required by the work context.</w:t>
      </w:r>
    </w:p>
    <w:p w:rsidR="00000000" w:rsidRPr="00187C17" w:rsidP="00187C17">
      <w:pPr>
        <w:pStyle w:val="BodyText"/>
      </w:pPr>
      <w:r w:rsidRPr="00187C17">
        <w:t>Work is car</w:t>
      </w:r>
      <w:r w:rsidRPr="00187C17">
        <w:t>ried out according to company policies and procedures, regulatory and licensing requirements, legislative requirements, and industrial awards and agreements</w:t>
      </w:r>
    </w:p>
    <w:p w:rsidR="00000000" w:rsidRPr="00187C17" w:rsidP="00187C17">
      <w:pPr>
        <w:pStyle w:val="BodyText"/>
      </w:pPr>
      <w:r w:rsidRPr="00187C17">
        <w:t>Legislative requirements are typically reflected in procedures and specifications. Legislation rele</w:t>
      </w:r>
      <w:r w:rsidRPr="00187C17">
        <w:t xml:space="preserve">vant to this industry includes the labelling, weights and measures legislation; and legislation covering food safety, environmental management, occupational health and safety, anti-discrimination and equal opportunity </w:t>
      </w:r>
    </w:p>
    <w:p w:rsidR="00000000" w:rsidRPr="00187C17" w:rsidP="00187C17">
      <w:pPr>
        <w:pStyle w:val="BodyText"/>
      </w:pPr>
      <w:r w:rsidRPr="00187C17">
        <w:t>Workplace information may include Sta</w:t>
      </w:r>
      <w:r w:rsidRPr="00187C17">
        <w:t>ndard Operating Procedures (SOPs), specifications, production schedules and instructions, manufacturers' advice, standard forms and reports</w:t>
      </w:r>
    </w:p>
    <w:p w:rsidR="00000000" w:rsidRPr="00187C17" w:rsidP="00187C17">
      <w:pPr>
        <w:pStyle w:val="BodyText"/>
      </w:pPr>
      <w:r w:rsidRPr="00187C17">
        <w:t>Equipment used in the grinding process may include conveyors/elevators, augers, magnets, fans, sieves, hammer mills,</w:t>
      </w:r>
      <w:r w:rsidRPr="00187C17">
        <w:t xml:space="preserve"> roller mills, breaker bars, and cyclones</w:t>
      </w:r>
    </w:p>
    <w:p w:rsidR="00000000" w:rsidRPr="00187C17" w:rsidP="00187C17">
      <w:pPr>
        <w:pStyle w:val="BodyText"/>
      </w:pPr>
      <w:r w:rsidRPr="00187C17">
        <w:t>Materials include grains and pulses. Pulses are legumes and typically include peas, beans and lentils</w:t>
      </w:r>
    </w:p>
    <w:p w:rsidR="00000000" w:rsidRPr="00187C17" w:rsidP="00187C17">
      <w:pPr>
        <w:pStyle w:val="BodyText"/>
      </w:pPr>
      <w:r w:rsidRPr="00187C17">
        <w:t>Operators carry out changeovers within workplace arrangements and the relevant changeover procedures should be u</w:t>
      </w:r>
      <w:r w:rsidRPr="00187C17">
        <w:t xml:space="preserve">sed to customise the details of this unit. Where more detailed changeovers are carried out, also refer to FDFOPTCRM2A </w:t>
      </w:r>
      <w:r w:rsidRPr="00187C17">
        <w:rPr>
          <w:rStyle w:val="SpecialBold"/>
        </w:rPr>
        <w:t>Conduct routine maintenance</w:t>
      </w:r>
    </w:p>
    <w:p w:rsidR="00000000" w:rsidRPr="00187C17" w:rsidP="00187C17">
      <w:pPr>
        <w:pStyle w:val="BodyText"/>
      </w:pPr>
      <w:r w:rsidRPr="00187C17">
        <w:t>Shutdown procedures may include cleaning. In some cases cleaning may be carried out by a dedicated cleaning cr</w:t>
      </w:r>
      <w:r w:rsidRPr="00187C17">
        <w:t>ew</w:t>
      </w:r>
    </w:p>
    <w:p w:rsidR="00000000" w:rsidRPr="00187C17" w:rsidP="00187C17">
      <w:pPr>
        <w:pStyle w:val="BodyText"/>
      </w:pPr>
      <w:r w:rsidRPr="00187C17">
        <w:t>Services may need to be confirmed. These depend on the nature of the process. Typical examples include power, steam, water, vacuum, and compressed and instrumentation air</w:t>
      </w:r>
    </w:p>
    <w:p w:rsidR="00000000" w:rsidRPr="00187C17" w:rsidP="00187C17">
      <w:pPr>
        <w:pStyle w:val="AllowPageBreak"/>
      </w:pPr>
    </w:p>
    <w:p w:rsidR="00000000" w:rsidRPr="00187C17" w:rsidP="00187C17">
      <w:pPr>
        <w:pStyle w:val="Heading1"/>
      </w:pPr>
      <w:bookmarkStart w:id="12" w:name="O_320417"/>
      <w:bookmarkEnd w:id="12"/>
      <w:r w:rsidRPr="00187C17">
        <w:t>Unit Sector(s)</w:t>
      </w:r>
    </w:p>
    <w:p w:rsidR="00000000" w:rsidRPr="00187C17" w:rsidP="00187C17">
      <w:pPr>
        <w:pStyle w:val="BodyText"/>
      </w:pPr>
      <w:r w:rsidRPr="00187C17">
        <w:t>Not applicable.</w:t>
      </w:r>
    </w:p>
    <w:p w:rsidR="00000000" w:rsidRPr="00187C17" w:rsidP="00187C17"/>
    <w:sectPr w:rsidSect="00187C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6FA" w:rsidP="003F26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6FA" w:rsidP="00187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F26FA" w:rsidP="00187C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F26FA" w:rsidP="00187C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6FA" w:rsidP="003F26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6FA" w:rsidP="00187C17">
    <w:pPr>
      <w:pStyle w:val="Header"/>
      <w:framePr w:wrap="around"/>
    </w:pPr>
    <w:r>
      <w:fldChar w:fldCharType="begin"/>
    </w:r>
    <w:r>
      <w:instrText xml:space="preserve"> TITLE   \* MERGEFORMAT </w:instrText>
    </w:r>
    <w:r>
      <w:fldChar w:fldCharType="separate"/>
    </w:r>
    <w:r>
      <w:t>FDFSFGP2B Operate a grinding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26FA" w:rsidP="00187C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C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7C17"/>
    <w:pPr>
      <w:spacing w:before="360" w:after="60"/>
      <w:outlineLvl w:val="0"/>
    </w:pPr>
    <w:rPr>
      <w:sz w:val="32"/>
    </w:rPr>
  </w:style>
  <w:style w:type="paragraph" w:styleId="Heading2">
    <w:name w:val="heading 2"/>
    <w:basedOn w:val="HeadingBase"/>
    <w:next w:val="BodyText"/>
    <w:link w:val="Heading2Char"/>
    <w:qFormat/>
    <w:rsid w:val="00187C17"/>
    <w:pPr>
      <w:keepLines/>
      <w:spacing w:before="240" w:after="120"/>
      <w:outlineLvl w:val="1"/>
    </w:pPr>
    <w:rPr>
      <w:sz w:val="28"/>
      <w:szCs w:val="40"/>
    </w:rPr>
  </w:style>
  <w:style w:type="paragraph" w:styleId="Heading3">
    <w:name w:val="heading 3"/>
    <w:basedOn w:val="HeadingBase"/>
    <w:next w:val="BodyText"/>
    <w:link w:val="Heading3Char"/>
    <w:qFormat/>
    <w:rsid w:val="00187C17"/>
    <w:pPr>
      <w:spacing w:before="180" w:after="120"/>
      <w:outlineLvl w:val="2"/>
    </w:pPr>
    <w:rPr>
      <w:spacing w:val="-10"/>
      <w:kern w:val="32"/>
    </w:rPr>
  </w:style>
  <w:style w:type="paragraph" w:styleId="Heading4">
    <w:name w:val="heading 4"/>
    <w:basedOn w:val="HeadingBase"/>
    <w:next w:val="BodyText"/>
    <w:link w:val="Heading4Char"/>
    <w:qFormat/>
    <w:rsid w:val="00187C17"/>
    <w:pPr>
      <w:spacing w:before="160" w:after="120"/>
      <w:outlineLvl w:val="3"/>
    </w:pPr>
    <w:rPr>
      <w:sz w:val="22"/>
    </w:rPr>
  </w:style>
  <w:style w:type="paragraph" w:styleId="Heading5">
    <w:name w:val="heading 5"/>
    <w:basedOn w:val="HeadingBase"/>
    <w:next w:val="Normal"/>
    <w:link w:val="Heading5Char"/>
    <w:qFormat/>
    <w:rsid w:val="00187C17"/>
    <w:pPr>
      <w:spacing w:before="80"/>
      <w:outlineLvl w:val="4"/>
    </w:pPr>
    <w:rPr>
      <w:color w:val="918585"/>
      <w:sz w:val="20"/>
    </w:rPr>
  </w:style>
  <w:style w:type="paragraph" w:styleId="Heading6">
    <w:name w:val="heading 6"/>
    <w:basedOn w:val="HeadingBase"/>
    <w:next w:val="Normal"/>
    <w:link w:val="Heading6Char"/>
    <w:qFormat/>
    <w:rsid w:val="00187C17"/>
    <w:pPr>
      <w:spacing w:before="60"/>
      <w:outlineLvl w:val="5"/>
    </w:pPr>
    <w:rPr>
      <w:color w:val="918585"/>
      <w:sz w:val="20"/>
    </w:rPr>
  </w:style>
  <w:style w:type="paragraph" w:styleId="Heading7">
    <w:name w:val="heading 7"/>
    <w:basedOn w:val="Normal"/>
    <w:next w:val="Normal"/>
    <w:link w:val="Heading7Char"/>
    <w:qFormat/>
    <w:rsid w:val="00187C17"/>
    <w:pPr>
      <w:ind w:left="720"/>
      <w:outlineLvl w:val="6"/>
    </w:pPr>
    <w:rPr>
      <w:i/>
    </w:rPr>
  </w:style>
  <w:style w:type="paragraph" w:styleId="Heading8">
    <w:name w:val="heading 8"/>
    <w:basedOn w:val="Normal"/>
    <w:next w:val="Normal"/>
    <w:link w:val="Heading8Char"/>
    <w:qFormat/>
    <w:rsid w:val="00187C17"/>
    <w:pPr>
      <w:ind w:left="720"/>
      <w:outlineLvl w:val="7"/>
    </w:pPr>
    <w:rPr>
      <w:i/>
    </w:rPr>
  </w:style>
  <w:style w:type="paragraph" w:styleId="Heading9">
    <w:name w:val="heading 9"/>
    <w:basedOn w:val="Normal"/>
    <w:next w:val="Normal"/>
    <w:link w:val="Heading9Char"/>
    <w:qFormat/>
    <w:rsid w:val="00187C17"/>
    <w:pPr>
      <w:ind w:left="720"/>
      <w:outlineLvl w:val="8"/>
    </w:pPr>
    <w:rPr>
      <w:i/>
    </w:rPr>
  </w:style>
  <w:style w:type="character" w:default="1" w:styleId="DefaultParagraphFont">
    <w:name w:val="Default Paragraph Font"/>
    <w:uiPriority w:val="1"/>
    <w:unhideWhenUsed/>
    <w:rsid w:val="00187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C17"/>
  </w:style>
  <w:style w:type="character" w:customStyle="1" w:styleId="Heading1Char">
    <w:name w:val="Heading 1 Char"/>
    <w:basedOn w:val="DefaultParagraphFont"/>
    <w:link w:val="Heading1"/>
    <w:rsid w:val="00187C17"/>
    <w:rPr>
      <w:rFonts w:ascii="Times New Roman" w:eastAsia="Times New Roman" w:hAnsi="Times New Roman" w:cs="Times New Roman"/>
      <w:b/>
      <w:sz w:val="32"/>
      <w:szCs w:val="20"/>
      <w:lang w:eastAsia="en-US"/>
    </w:rPr>
  </w:style>
  <w:style w:type="paragraph" w:styleId="BodyText">
    <w:name w:val="Body Text"/>
    <w:basedOn w:val="Normal"/>
    <w:link w:val="BodyTextChar"/>
    <w:rsid w:val="00187C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7C17"/>
    <w:rPr>
      <w:rFonts w:ascii="Times New Roman" w:eastAsia="Times New Roman" w:hAnsi="Times New Roman" w:cs="Times New Roman"/>
      <w:sz w:val="24"/>
      <w:lang w:val="en-US" w:eastAsia="en-US"/>
    </w:rPr>
  </w:style>
  <w:style w:type="paragraph" w:styleId="Footer">
    <w:name w:val="footer"/>
    <w:basedOn w:val="Normal"/>
    <w:link w:val="FooterChar"/>
    <w:rsid w:val="00187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C1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87C17"/>
    <w:rPr>
      <w:b/>
      <w:spacing w:val="0"/>
    </w:rPr>
  </w:style>
  <w:style w:type="paragraph" w:styleId="Header">
    <w:name w:val="header"/>
    <w:basedOn w:val="Normal"/>
    <w:link w:val="HeaderChar"/>
    <w:rsid w:val="00187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C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7C17"/>
    <w:pPr>
      <w:spacing w:before="240" w:after="120"/>
      <w:outlineLvl w:val="0"/>
    </w:pPr>
    <w:rPr>
      <w:rFonts w:ascii="Times New Roman" w:hAnsi="Times New Roman"/>
      <w:b/>
      <w:sz w:val="28"/>
    </w:rPr>
  </w:style>
  <w:style w:type="paragraph" w:customStyle="1" w:styleId="AllowPageBreak">
    <w:name w:val="AllowPageBreak"/>
    <w:rsid w:val="00187C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7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C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7C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7C17"/>
    <w:rPr>
      <w:rFonts w:ascii="Courier New" w:eastAsia="Times New Roman" w:hAnsi="Courier New" w:cs="Times New Roman"/>
      <w:i/>
      <w:szCs w:val="20"/>
      <w:lang w:val="en-US" w:eastAsia="en-US"/>
    </w:rPr>
  </w:style>
  <w:style w:type="paragraph" w:customStyle="1" w:styleId="HeadingBase">
    <w:name w:val="Heading Base"/>
    <w:rsid w:val="00187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C17"/>
    <w:pPr>
      <w:tabs>
        <w:tab w:val="right" w:leader="dot" w:pos="9072"/>
      </w:tabs>
      <w:ind w:left="567"/>
    </w:pPr>
    <w:rPr>
      <w:szCs w:val="22"/>
    </w:rPr>
  </w:style>
  <w:style w:type="paragraph" w:customStyle="1" w:styleId="TOCBase">
    <w:name w:val="TOC Base"/>
    <w:rsid w:val="00187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C17"/>
    <w:pPr>
      <w:tabs>
        <w:tab w:val="right" w:leader="dot" w:pos="9072"/>
      </w:tabs>
      <w:spacing w:before="40" w:after="40"/>
      <w:ind w:left="284"/>
    </w:pPr>
    <w:rPr>
      <w:rFonts w:ascii="Times New Roman" w:hAnsi="Times New Roman"/>
    </w:rPr>
  </w:style>
  <w:style w:type="paragraph" w:styleId="TOC1">
    <w:name w:val="toc 1"/>
    <w:basedOn w:val="TOCBase"/>
    <w:next w:val="Normal"/>
    <w:rsid w:val="00187C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7C17"/>
    <w:pPr>
      <w:spacing w:before="5040"/>
      <w:jc w:val="center"/>
    </w:pPr>
    <w:rPr>
      <w:sz w:val="48"/>
      <w:szCs w:val="72"/>
      <w:lang w:val="en-US"/>
    </w:rPr>
  </w:style>
  <w:style w:type="character" w:customStyle="1" w:styleId="TitleChar">
    <w:name w:val="Title Char"/>
    <w:basedOn w:val="DefaultParagraphFont"/>
    <w:link w:val="Title"/>
    <w:rsid w:val="00187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C17"/>
    <w:pPr>
      <w:tabs>
        <w:tab w:val="left" w:pos="3600"/>
        <w:tab w:val="left" w:pos="3958"/>
      </w:tabs>
    </w:pPr>
  </w:style>
  <w:style w:type="paragraph" w:styleId="List">
    <w:name w:val="List"/>
    <w:basedOn w:val="BodyText"/>
    <w:next w:val="BodyText"/>
    <w:rsid w:val="00187C17"/>
    <w:pPr>
      <w:tabs>
        <w:tab w:val="left" w:pos="340"/>
      </w:tabs>
      <w:spacing w:before="60" w:after="60"/>
      <w:ind w:left="340" w:hanging="340"/>
    </w:pPr>
  </w:style>
  <w:style w:type="paragraph" w:styleId="ListBullet">
    <w:name w:val="List Bullet"/>
    <w:basedOn w:val="List"/>
    <w:rsid w:val="00187C17"/>
    <w:pPr>
      <w:numPr>
        <w:numId w:val="11"/>
      </w:numPr>
      <w:tabs>
        <w:tab w:val="clear" w:pos="340"/>
      </w:tabs>
      <w:spacing w:before="40" w:after="40"/>
    </w:pPr>
  </w:style>
  <w:style w:type="paragraph" w:customStyle="1" w:styleId="Note">
    <w:name w:val="Note"/>
    <w:basedOn w:val="BodyText"/>
    <w:rsid w:val="00187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C17"/>
    <w:pPr>
      <w:framePr w:wrap="auto" w:hAnchor="text" w:y="6049"/>
    </w:pPr>
    <w:rPr>
      <w:color w:val="000000"/>
      <w:sz w:val="40"/>
    </w:rPr>
  </w:style>
  <w:style w:type="paragraph" w:customStyle="1" w:styleId="TOCTitle">
    <w:name w:val="TOCTitle"/>
    <w:basedOn w:val="Heading1"/>
    <w:rsid w:val="00187C17"/>
    <w:pPr>
      <w:spacing w:after="240"/>
      <w:jc w:val="center"/>
      <w:outlineLvl w:val="9"/>
    </w:pPr>
    <w:rPr>
      <w:caps/>
    </w:rPr>
  </w:style>
  <w:style w:type="paragraph" w:customStyle="1" w:styleId="Version">
    <w:name w:val="Version"/>
    <w:rsid w:val="00187C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7C17"/>
    <w:pPr>
      <w:numPr>
        <w:numId w:val="12"/>
      </w:numPr>
      <w:tabs>
        <w:tab w:val="clear" w:pos="680"/>
      </w:tabs>
    </w:pPr>
  </w:style>
  <w:style w:type="paragraph" w:styleId="Index1">
    <w:name w:val="index 1"/>
    <w:basedOn w:val="Normal"/>
    <w:next w:val="Normal"/>
    <w:semiHidden/>
    <w:rsid w:val="00187C17"/>
    <w:pPr>
      <w:keepNext w:val="0"/>
      <w:tabs>
        <w:tab w:val="right" w:pos="4176"/>
      </w:tabs>
      <w:ind w:left="198" w:hanging="198"/>
    </w:pPr>
    <w:rPr>
      <w:rFonts w:ascii="Garamond" w:hAnsi="Garamond"/>
    </w:rPr>
  </w:style>
  <w:style w:type="paragraph" w:styleId="IndexHeading">
    <w:name w:val="index heading"/>
    <w:basedOn w:val="Normal"/>
    <w:next w:val="Index1"/>
    <w:semiHidden/>
    <w:rsid w:val="00187C17"/>
    <w:pPr>
      <w:spacing w:before="120" w:after="120"/>
    </w:pPr>
    <w:rPr>
      <w:rFonts w:ascii="Arial" w:hAnsi="Arial"/>
      <w:b/>
      <w:color w:val="918585"/>
      <w:sz w:val="24"/>
    </w:rPr>
  </w:style>
  <w:style w:type="paragraph" w:customStyle="1" w:styleId="Chapter">
    <w:name w:val="Chapter"/>
    <w:basedOn w:val="Normal"/>
    <w:rsid w:val="00187C17"/>
    <w:pPr>
      <w:spacing w:before="240"/>
    </w:pPr>
    <w:rPr>
      <w:rFonts w:ascii="Times New Roman" w:hAnsi="Times New Roman"/>
      <w:smallCaps/>
      <w:spacing w:val="80"/>
      <w:sz w:val="28"/>
    </w:rPr>
  </w:style>
  <w:style w:type="paragraph" w:customStyle="1" w:styleId="InChapter">
    <w:name w:val="InChapter"/>
    <w:basedOn w:val="Heading3"/>
    <w:rsid w:val="00187C17"/>
    <w:pPr>
      <w:spacing w:after="240"/>
      <w:outlineLvl w:val="9"/>
    </w:pPr>
    <w:rPr>
      <w:noProof/>
    </w:rPr>
  </w:style>
  <w:style w:type="paragraph" w:styleId="Index2">
    <w:name w:val="index 2"/>
    <w:basedOn w:val="Normal"/>
    <w:next w:val="Normal"/>
    <w:semiHidden/>
    <w:rsid w:val="00187C17"/>
    <w:pPr>
      <w:tabs>
        <w:tab w:val="right" w:pos="4176"/>
      </w:tabs>
      <w:ind w:left="568" w:hanging="284"/>
    </w:pPr>
    <w:rPr>
      <w:rFonts w:ascii="Garamond" w:hAnsi="Garamond"/>
    </w:rPr>
  </w:style>
  <w:style w:type="paragraph" w:customStyle="1" w:styleId="Byline">
    <w:name w:val="Byline"/>
    <w:rsid w:val="00187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C17"/>
    <w:pPr>
      <w:tabs>
        <w:tab w:val="clear" w:pos="3600"/>
        <w:tab w:val="clear" w:pos="3958"/>
      </w:tabs>
      <w:jc w:val="right"/>
    </w:pPr>
  </w:style>
  <w:style w:type="character" w:styleId="Emphasis">
    <w:name w:val="Emphasis"/>
    <w:basedOn w:val="DefaultParagraphFont"/>
    <w:qFormat/>
    <w:rsid w:val="00187C17"/>
    <w:rPr>
      <w:i/>
    </w:rPr>
  </w:style>
  <w:style w:type="paragraph" w:styleId="Caption">
    <w:name w:val="caption"/>
    <w:basedOn w:val="BodyText"/>
    <w:next w:val="Normal"/>
    <w:qFormat/>
    <w:rsid w:val="00187C17"/>
    <w:pPr>
      <w:framePr w:w="2268" w:hSpace="181" w:vSpace="181" w:wrap="around" w:vAnchor="text" w:hAnchor="page" w:x="1135" w:y="285" w:anchorLock="1"/>
    </w:pPr>
    <w:rPr>
      <w:i/>
    </w:rPr>
  </w:style>
  <w:style w:type="paragraph" w:customStyle="1" w:styleId="MiniTOCTitle">
    <w:name w:val="MiniTOCTitle"/>
    <w:basedOn w:val="Heading4"/>
    <w:rsid w:val="00187C17"/>
    <w:pPr>
      <w:spacing w:before="240"/>
      <w:outlineLvl w:val="9"/>
    </w:pPr>
    <w:rPr>
      <w:noProof/>
      <w:sz w:val="24"/>
    </w:rPr>
  </w:style>
  <w:style w:type="paragraph" w:customStyle="1" w:styleId="MiniTOCItem">
    <w:name w:val="MiniTOCItem"/>
    <w:basedOn w:val="ListBullet"/>
    <w:rsid w:val="00187C17"/>
    <w:pPr>
      <w:numPr>
        <w:numId w:val="0"/>
      </w:numPr>
      <w:tabs>
        <w:tab w:val="right" w:leader="dot" w:pos="6521"/>
      </w:tabs>
      <w:spacing w:before="0" w:after="0"/>
    </w:pPr>
  </w:style>
  <w:style w:type="paragraph" w:customStyle="1" w:styleId="TOFTitle">
    <w:name w:val="TOFTitle"/>
    <w:basedOn w:val="TOCTitle"/>
    <w:rsid w:val="00187C17"/>
  </w:style>
  <w:style w:type="paragraph" w:styleId="TableofFigures">
    <w:name w:val="table of figures"/>
    <w:basedOn w:val="Normal"/>
    <w:next w:val="Normal"/>
    <w:semiHidden/>
    <w:rsid w:val="00187C17"/>
    <w:pPr>
      <w:tabs>
        <w:tab w:val="right" w:leader="dot" w:pos="9072"/>
      </w:tabs>
      <w:ind w:left="970" w:hanging="403"/>
    </w:pPr>
    <w:rPr>
      <w:rFonts w:ascii="Times New Roman" w:hAnsi="Times New Roman"/>
      <w:b/>
    </w:rPr>
  </w:style>
  <w:style w:type="paragraph" w:styleId="ListNumber">
    <w:name w:val="List Number"/>
    <w:basedOn w:val="List"/>
    <w:rsid w:val="00187C17"/>
    <w:pPr>
      <w:numPr>
        <w:numId w:val="9"/>
      </w:numPr>
    </w:pPr>
  </w:style>
  <w:style w:type="character" w:customStyle="1" w:styleId="WingdingSymbols">
    <w:name w:val="Wingding Symbols"/>
    <w:rsid w:val="00187C17"/>
    <w:rPr>
      <w:rFonts w:ascii="Wingdings" w:hAnsi="Wingdings"/>
    </w:rPr>
  </w:style>
  <w:style w:type="paragraph" w:customStyle="1" w:styleId="TableHeading">
    <w:name w:val="Table Heading"/>
    <w:basedOn w:val="HeadingBase"/>
    <w:rsid w:val="00187C17"/>
    <w:pPr>
      <w:keepLines/>
      <w:pBdr>
        <w:bottom w:val="single" w:sz="6" w:space="1" w:color="918585"/>
      </w:pBdr>
      <w:spacing w:before="240"/>
    </w:pPr>
  </w:style>
  <w:style w:type="character" w:customStyle="1" w:styleId="HotSpot">
    <w:name w:val="HotSpot"/>
    <w:rsid w:val="00187C17"/>
    <w:rPr>
      <w:color w:val="0033CC"/>
      <w:u w:val="none"/>
    </w:rPr>
  </w:style>
  <w:style w:type="paragraph" w:customStyle="1" w:styleId="BodyTextRight">
    <w:name w:val="Body Text Right"/>
    <w:basedOn w:val="BodyText"/>
    <w:rsid w:val="00187C17"/>
    <w:pPr>
      <w:spacing w:before="0" w:after="0"/>
      <w:jc w:val="right"/>
    </w:pPr>
  </w:style>
  <w:style w:type="paragraph" w:styleId="Index3">
    <w:name w:val="index 3"/>
    <w:basedOn w:val="ListNumber2"/>
    <w:next w:val="Normal"/>
    <w:semiHidden/>
    <w:rsid w:val="00187C17"/>
    <w:pPr>
      <w:numPr>
        <w:numId w:val="0"/>
      </w:numPr>
      <w:tabs>
        <w:tab w:val="right" w:leader="dot" w:pos="4176"/>
      </w:tabs>
    </w:pPr>
  </w:style>
  <w:style w:type="paragraph" w:styleId="ListNumber2">
    <w:name w:val="List Number 2"/>
    <w:basedOn w:val="List2"/>
    <w:rsid w:val="00187C17"/>
    <w:pPr>
      <w:numPr>
        <w:numId w:val="8"/>
      </w:numPr>
      <w:tabs>
        <w:tab w:val="clear" w:pos="1060"/>
      </w:tabs>
    </w:pPr>
  </w:style>
  <w:style w:type="paragraph" w:customStyle="1" w:styleId="MarginNote">
    <w:name w:val="Margin Note"/>
    <w:basedOn w:val="BodyText"/>
    <w:rsid w:val="00187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C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7C17"/>
    <w:rPr>
      <w:sz w:val="32"/>
    </w:rPr>
  </w:style>
  <w:style w:type="paragraph" w:customStyle="1" w:styleId="HeadingProcedure">
    <w:name w:val="Heading Procedure"/>
    <w:basedOn w:val="HeadingBase"/>
    <w:next w:val="Normal"/>
    <w:rsid w:val="00187C17"/>
    <w:pPr>
      <w:tabs>
        <w:tab w:val="left" w:pos="0"/>
      </w:tabs>
      <w:spacing w:before="120" w:after="60"/>
    </w:pPr>
    <w:rPr>
      <w:i/>
      <w:color w:val="918585"/>
      <w:sz w:val="22"/>
    </w:rPr>
  </w:style>
  <w:style w:type="paragraph" w:customStyle="1" w:styleId="TableBodyText">
    <w:name w:val="Table Body Text"/>
    <w:basedOn w:val="BodyText"/>
    <w:rsid w:val="00187C17"/>
    <w:pPr>
      <w:spacing w:before="60" w:after="60"/>
    </w:pPr>
  </w:style>
  <w:style w:type="paragraph" w:styleId="ListContinue">
    <w:name w:val="List Continue"/>
    <w:basedOn w:val="List"/>
    <w:rsid w:val="00187C17"/>
    <w:pPr>
      <w:ind w:firstLine="0"/>
    </w:pPr>
  </w:style>
  <w:style w:type="paragraph" w:customStyle="1" w:styleId="ListNote">
    <w:name w:val="List Note"/>
    <w:basedOn w:val="List"/>
    <w:rsid w:val="00187C17"/>
    <w:pPr>
      <w:pBdr>
        <w:top w:val="single" w:sz="6" w:space="2" w:color="918585"/>
        <w:bottom w:val="single" w:sz="6" w:space="2" w:color="918585"/>
      </w:pBdr>
      <w:tabs>
        <w:tab w:val="left" w:pos="1021"/>
      </w:tabs>
      <w:ind w:firstLine="0"/>
    </w:pPr>
  </w:style>
  <w:style w:type="paragraph" w:customStyle="1" w:styleId="Warning">
    <w:name w:val="Warning"/>
    <w:basedOn w:val="BodyText"/>
    <w:rsid w:val="00187C17"/>
    <w:pPr>
      <w:shd w:val="clear" w:color="auto" w:fill="D9D9D9"/>
      <w:tabs>
        <w:tab w:val="left" w:pos="992"/>
      </w:tabs>
      <w:ind w:left="119" w:right="119"/>
    </w:pPr>
    <w:rPr>
      <w:sz w:val="20"/>
    </w:rPr>
  </w:style>
  <w:style w:type="paragraph" w:customStyle="1" w:styleId="MarginIcons">
    <w:name w:val="Margin Icons"/>
    <w:basedOn w:val="BodyText"/>
    <w:rsid w:val="00187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C17"/>
    <w:rPr>
      <w:rFonts w:ascii="Courier New" w:hAnsi="Courier New"/>
    </w:rPr>
  </w:style>
  <w:style w:type="paragraph" w:customStyle="1" w:styleId="NoteBullet">
    <w:name w:val="Note Bullet"/>
    <w:basedOn w:val="Note"/>
    <w:rsid w:val="00187C17"/>
    <w:pPr>
      <w:tabs>
        <w:tab w:val="clear" w:pos="680"/>
      </w:tabs>
      <w:spacing w:before="60" w:after="60"/>
    </w:pPr>
  </w:style>
  <w:style w:type="paragraph" w:customStyle="1" w:styleId="SubHeading2">
    <w:name w:val="SubHeading2"/>
    <w:basedOn w:val="HeadingBase"/>
    <w:rsid w:val="00187C17"/>
    <w:pPr>
      <w:spacing w:before="240" w:after="60"/>
    </w:pPr>
    <w:rPr>
      <w:sz w:val="20"/>
    </w:rPr>
  </w:style>
  <w:style w:type="paragraph" w:customStyle="1" w:styleId="SubHeading1">
    <w:name w:val="SubHeading1"/>
    <w:basedOn w:val="HeadingBase"/>
    <w:rsid w:val="00187C17"/>
    <w:pPr>
      <w:spacing w:before="240" w:after="60"/>
    </w:pPr>
    <w:rPr>
      <w:color w:val="918585"/>
      <w:sz w:val="22"/>
    </w:rPr>
  </w:style>
  <w:style w:type="paragraph" w:customStyle="1" w:styleId="SideHeading">
    <w:name w:val="Side Heading"/>
    <w:basedOn w:val="HeadingBase"/>
    <w:rsid w:val="00187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C17"/>
    <w:pPr>
      <w:numPr>
        <w:numId w:val="10"/>
      </w:numPr>
    </w:pPr>
  </w:style>
  <w:style w:type="paragraph" w:styleId="PlainText">
    <w:name w:val="Plain Text"/>
    <w:basedOn w:val="Normal"/>
    <w:link w:val="PlainTextChar"/>
    <w:rsid w:val="00187C17"/>
    <w:rPr>
      <w:sz w:val="20"/>
    </w:rPr>
  </w:style>
  <w:style w:type="character" w:customStyle="1" w:styleId="PlainTextChar">
    <w:name w:val="Plain Text Char"/>
    <w:basedOn w:val="DefaultParagraphFont"/>
    <w:link w:val="PlainText"/>
    <w:rsid w:val="00187C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7C17"/>
    <w:rPr>
      <w:b/>
      <w:smallCaps/>
    </w:rPr>
  </w:style>
  <w:style w:type="paragraph" w:customStyle="1" w:styleId="TableListNumber">
    <w:name w:val="Table List Number"/>
    <w:basedOn w:val="ListNumber"/>
    <w:rsid w:val="00187C17"/>
    <w:pPr>
      <w:numPr>
        <w:numId w:val="0"/>
      </w:numPr>
    </w:pPr>
  </w:style>
  <w:style w:type="paragraph" w:styleId="TOC4">
    <w:name w:val="toc 4"/>
    <w:basedOn w:val="TOCBase"/>
    <w:next w:val="Normal"/>
    <w:semiHidden/>
    <w:rsid w:val="00187C17"/>
    <w:pPr>
      <w:tabs>
        <w:tab w:val="right" w:leader="dot" w:pos="9071"/>
      </w:tabs>
      <w:ind w:left="1701"/>
    </w:pPr>
  </w:style>
  <w:style w:type="paragraph" w:customStyle="1" w:styleId="ListAlpha">
    <w:name w:val="List Alpha"/>
    <w:basedOn w:val="List"/>
    <w:rsid w:val="00187C17"/>
    <w:pPr>
      <w:numPr>
        <w:numId w:val="7"/>
      </w:numPr>
    </w:pPr>
  </w:style>
  <w:style w:type="paragraph" w:customStyle="1" w:styleId="ListAlpha2">
    <w:name w:val="List Alpha 2"/>
    <w:basedOn w:val="List2"/>
    <w:rsid w:val="00187C17"/>
    <w:pPr>
      <w:numPr>
        <w:numId w:val="6"/>
      </w:numPr>
    </w:pPr>
  </w:style>
  <w:style w:type="paragraph" w:styleId="List2">
    <w:name w:val="List 2"/>
    <w:basedOn w:val="BodyText"/>
    <w:rsid w:val="00187C17"/>
    <w:pPr>
      <w:tabs>
        <w:tab w:val="left" w:pos="680"/>
      </w:tabs>
      <w:spacing w:before="60" w:after="60"/>
      <w:ind w:left="680" w:hanging="340"/>
    </w:pPr>
  </w:style>
  <w:style w:type="paragraph" w:styleId="List3">
    <w:name w:val="List 3"/>
    <w:basedOn w:val="BodyText"/>
    <w:rsid w:val="00187C17"/>
    <w:pPr>
      <w:tabs>
        <w:tab w:val="left" w:pos="1021"/>
      </w:tabs>
      <w:spacing w:before="60" w:after="60"/>
      <w:ind w:left="1020" w:hanging="340"/>
    </w:pPr>
  </w:style>
  <w:style w:type="paragraph" w:styleId="List4">
    <w:name w:val="List 4"/>
    <w:basedOn w:val="BodyText"/>
    <w:rsid w:val="00187C17"/>
    <w:pPr>
      <w:tabs>
        <w:tab w:val="left" w:pos="1361"/>
      </w:tabs>
      <w:spacing w:before="60" w:after="60"/>
      <w:ind w:left="1361" w:hanging="340"/>
    </w:pPr>
  </w:style>
  <w:style w:type="paragraph" w:styleId="List5">
    <w:name w:val="List 5"/>
    <w:basedOn w:val="BodyText"/>
    <w:rsid w:val="00187C17"/>
    <w:pPr>
      <w:tabs>
        <w:tab w:val="left" w:pos="1701"/>
      </w:tabs>
      <w:spacing w:before="60" w:after="60"/>
      <w:ind w:left="1701" w:hanging="340"/>
    </w:pPr>
  </w:style>
  <w:style w:type="paragraph" w:styleId="ListBullet3">
    <w:name w:val="List Bullet 3"/>
    <w:basedOn w:val="List3"/>
    <w:rsid w:val="00187C17"/>
    <w:pPr>
      <w:numPr>
        <w:numId w:val="13"/>
      </w:numPr>
      <w:tabs>
        <w:tab w:val="clear" w:pos="1021"/>
      </w:tabs>
      <w:ind w:left="1037" w:hanging="357"/>
    </w:pPr>
  </w:style>
  <w:style w:type="paragraph" w:styleId="ListBullet4">
    <w:name w:val="List Bullet 4"/>
    <w:basedOn w:val="List4"/>
    <w:rsid w:val="00187C17"/>
    <w:pPr>
      <w:numPr>
        <w:numId w:val="1"/>
      </w:numPr>
    </w:pPr>
  </w:style>
  <w:style w:type="paragraph" w:styleId="ListBullet5">
    <w:name w:val="List Bullet 5"/>
    <w:basedOn w:val="List5"/>
    <w:rsid w:val="00187C17"/>
    <w:pPr>
      <w:numPr>
        <w:numId w:val="2"/>
      </w:numPr>
    </w:pPr>
  </w:style>
  <w:style w:type="paragraph" w:styleId="ListContinue2">
    <w:name w:val="List Continue 2"/>
    <w:basedOn w:val="List2"/>
    <w:rsid w:val="00187C17"/>
    <w:pPr>
      <w:ind w:firstLine="0"/>
    </w:pPr>
  </w:style>
  <w:style w:type="paragraph" w:styleId="ListContinue3">
    <w:name w:val="List Continue 3"/>
    <w:basedOn w:val="List3"/>
    <w:rsid w:val="00187C17"/>
    <w:pPr>
      <w:ind w:left="1021" w:firstLine="0"/>
    </w:pPr>
  </w:style>
  <w:style w:type="paragraph" w:styleId="ListContinue4">
    <w:name w:val="List Continue 4"/>
    <w:basedOn w:val="List4"/>
    <w:rsid w:val="00187C17"/>
    <w:pPr>
      <w:ind w:firstLine="0"/>
    </w:pPr>
  </w:style>
  <w:style w:type="paragraph" w:styleId="ListContinue5">
    <w:name w:val="List Continue 5"/>
    <w:basedOn w:val="List5"/>
    <w:rsid w:val="00187C17"/>
    <w:pPr>
      <w:ind w:firstLine="0"/>
    </w:pPr>
  </w:style>
  <w:style w:type="paragraph" w:styleId="ListNumber3">
    <w:name w:val="List Number 3"/>
    <w:basedOn w:val="List3"/>
    <w:rsid w:val="00187C17"/>
    <w:pPr>
      <w:numPr>
        <w:numId w:val="3"/>
      </w:numPr>
    </w:pPr>
  </w:style>
  <w:style w:type="paragraph" w:styleId="ListNumber4">
    <w:name w:val="List Number 4"/>
    <w:basedOn w:val="List4"/>
    <w:rsid w:val="00187C17"/>
    <w:pPr>
      <w:numPr>
        <w:numId w:val="4"/>
      </w:numPr>
    </w:pPr>
  </w:style>
  <w:style w:type="paragraph" w:styleId="ListNumber5">
    <w:name w:val="List Number 5"/>
    <w:basedOn w:val="List5"/>
    <w:rsid w:val="00187C17"/>
    <w:pPr>
      <w:numPr>
        <w:numId w:val="5"/>
      </w:numPr>
    </w:pPr>
  </w:style>
  <w:style w:type="paragraph" w:styleId="BlockText">
    <w:name w:val="Block Text"/>
    <w:basedOn w:val="Normal"/>
    <w:rsid w:val="00187C17"/>
    <w:pPr>
      <w:spacing w:after="120"/>
      <w:ind w:left="1440" w:right="1440"/>
    </w:pPr>
  </w:style>
  <w:style w:type="character" w:customStyle="1" w:styleId="Subscript">
    <w:name w:val="Subscript"/>
    <w:basedOn w:val="DefaultParagraphFont"/>
    <w:rsid w:val="00187C17"/>
    <w:rPr>
      <w:sz w:val="16"/>
      <w:vertAlign w:val="subscript"/>
    </w:rPr>
  </w:style>
  <w:style w:type="character" w:customStyle="1" w:styleId="Superscript">
    <w:name w:val="Superscript"/>
    <w:basedOn w:val="DefaultParagraphFont"/>
    <w:rsid w:val="00187C17"/>
    <w:rPr>
      <w:sz w:val="16"/>
      <w:vertAlign w:val="superscript"/>
    </w:rPr>
  </w:style>
  <w:style w:type="character" w:customStyle="1" w:styleId="Symbols">
    <w:name w:val="Symbols"/>
    <w:basedOn w:val="DefaultParagraphFont"/>
    <w:rsid w:val="00187C17"/>
    <w:rPr>
      <w:rFonts w:ascii="Symbol" w:hAnsi="Symbol"/>
    </w:rPr>
  </w:style>
  <w:style w:type="character" w:customStyle="1" w:styleId="MenuOptions">
    <w:name w:val="Menu Options"/>
    <w:basedOn w:val="DefaultParagraphFont"/>
    <w:rsid w:val="00187C17"/>
    <w:rPr>
      <w:rFonts w:ascii="Arial Narrow" w:hAnsi="Arial Narrow"/>
      <w:smallCaps/>
    </w:rPr>
  </w:style>
  <w:style w:type="character" w:customStyle="1" w:styleId="Buttons">
    <w:name w:val="Buttons"/>
    <w:basedOn w:val="DefaultParagraphFont"/>
    <w:rsid w:val="00187C17"/>
    <w:rPr>
      <w:b/>
    </w:rPr>
  </w:style>
  <w:style w:type="character" w:customStyle="1" w:styleId="Underlined">
    <w:name w:val="Underlined"/>
    <w:basedOn w:val="DefaultParagraphFont"/>
    <w:rsid w:val="00187C17"/>
    <w:rPr>
      <w:u w:val="single"/>
    </w:rPr>
  </w:style>
  <w:style w:type="paragraph" w:customStyle="1" w:styleId="TableBodyTextRight">
    <w:name w:val="Table Body Text Right"/>
    <w:basedOn w:val="TableBodyText"/>
    <w:rsid w:val="00187C17"/>
    <w:pPr>
      <w:widowControl w:val="0"/>
      <w:autoSpaceDE w:val="0"/>
      <w:autoSpaceDN w:val="0"/>
      <w:adjustRightInd w:val="0"/>
      <w:jc w:val="right"/>
    </w:pPr>
    <w:rPr>
      <w:rFonts w:cs="Arial"/>
      <w:szCs w:val="18"/>
    </w:rPr>
  </w:style>
  <w:style w:type="paragraph" w:customStyle="1" w:styleId="CopyrightText">
    <w:name w:val="Copyright Text"/>
    <w:basedOn w:val="BodyText"/>
    <w:rsid w:val="00187C17"/>
    <w:rPr>
      <w:sz w:val="18"/>
    </w:rPr>
  </w:style>
  <w:style w:type="paragraph" w:customStyle="1" w:styleId="BodySmallRight">
    <w:name w:val="Body Small Right"/>
    <w:basedOn w:val="BodyTextRight"/>
    <w:rsid w:val="00187C17"/>
    <w:rPr>
      <w:sz w:val="18"/>
      <w:szCs w:val="18"/>
    </w:rPr>
  </w:style>
  <w:style w:type="paragraph" w:customStyle="1" w:styleId="MarginEdition">
    <w:name w:val="Margin Edition"/>
    <w:basedOn w:val="MarginNote"/>
    <w:rsid w:val="00187C17"/>
    <w:pPr>
      <w:spacing w:before="0" w:after="0"/>
    </w:pPr>
    <w:rPr>
      <w:rFonts w:ascii="Times New Roman" w:hAnsi="Times New Roman"/>
      <w:color w:val="999999"/>
    </w:rPr>
  </w:style>
  <w:style w:type="paragraph" w:customStyle="1" w:styleId="Spacer">
    <w:name w:val="Spacer"/>
    <w:basedOn w:val="Normal"/>
    <w:rsid w:val="00187C17"/>
    <w:rPr>
      <w:sz w:val="2"/>
      <w:szCs w:val="2"/>
    </w:rPr>
  </w:style>
  <w:style w:type="character" w:customStyle="1" w:styleId="Small">
    <w:name w:val="Small"/>
    <w:basedOn w:val="DefaultParagraphFont"/>
    <w:rsid w:val="00187C17"/>
    <w:rPr>
      <w:sz w:val="16"/>
    </w:rPr>
  </w:style>
  <w:style w:type="paragraph" w:customStyle="1" w:styleId="WideTable">
    <w:name w:val="Wide Table"/>
    <w:basedOn w:val="Normal"/>
    <w:rsid w:val="00187C17"/>
    <w:pPr>
      <w:ind w:left="-1418"/>
    </w:pPr>
    <w:rPr>
      <w:sz w:val="2"/>
      <w:szCs w:val="2"/>
    </w:rPr>
  </w:style>
  <w:style w:type="character" w:styleId="PageNumber">
    <w:name w:val="page number"/>
    <w:basedOn w:val="DefaultParagraphFont"/>
    <w:rsid w:val="00187C17"/>
  </w:style>
  <w:style w:type="paragraph" w:styleId="Quote">
    <w:name w:val="Quote"/>
    <w:basedOn w:val="Heading1"/>
    <w:link w:val="QuoteChar"/>
    <w:qFormat/>
    <w:rsid w:val="00187C17"/>
    <w:rPr>
      <w:b w:val="0"/>
      <w:sz w:val="72"/>
      <w:szCs w:val="72"/>
      <w:lang w:val="en-NZ"/>
    </w:rPr>
  </w:style>
  <w:style w:type="character" w:customStyle="1" w:styleId="QuoteChar">
    <w:name w:val="Quote Char"/>
    <w:basedOn w:val="DefaultParagraphFont"/>
    <w:link w:val="Quote"/>
    <w:rsid w:val="00187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C17"/>
    <w:pPr>
      <w:pageBreakBefore/>
    </w:pPr>
  </w:style>
  <w:style w:type="paragraph" w:customStyle="1" w:styleId="Border">
    <w:name w:val="Border"/>
    <w:basedOn w:val="Normal"/>
    <w:qFormat/>
    <w:rsid w:val="00187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C17"/>
    <w:rPr>
      <w:b/>
      <w:bCs/>
      <w:i/>
      <w:iCs/>
      <w:color w:val="auto"/>
    </w:rPr>
  </w:style>
  <w:style w:type="paragraph" w:styleId="IntenseQuote">
    <w:name w:val="Intense Quote"/>
    <w:basedOn w:val="Normal"/>
    <w:next w:val="Normal"/>
    <w:link w:val="IntenseQuoteChar"/>
    <w:uiPriority w:val="30"/>
    <w:qFormat/>
    <w:rsid w:val="00187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C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7C17"/>
    <w:rPr>
      <w:smallCaps/>
      <w:color w:val="auto"/>
      <w:u w:val="single"/>
    </w:rPr>
  </w:style>
  <w:style w:type="character" w:styleId="IntenseReference">
    <w:name w:val="Intense Reference"/>
    <w:basedOn w:val="DefaultParagraphFont"/>
    <w:uiPriority w:val="32"/>
    <w:qFormat/>
    <w:rsid w:val="00187C17"/>
    <w:rPr>
      <w:b/>
      <w:bCs/>
      <w:smallCaps/>
      <w:color w:val="auto"/>
      <w:spacing w:val="5"/>
      <w:u w:val="single"/>
    </w:rPr>
  </w:style>
  <w:style w:type="paragraph" w:customStyle="1" w:styleId="2ColumnHeading">
    <w:name w:val="2Column Heading"/>
    <w:basedOn w:val="BodyText"/>
    <w:qFormat/>
    <w:rsid w:val="00187C17"/>
    <w:pPr>
      <w:spacing w:after="60"/>
      <w:ind w:left="-2268"/>
    </w:pPr>
    <w:rPr>
      <w:b/>
    </w:rPr>
  </w:style>
  <w:style w:type="paragraph" w:customStyle="1" w:styleId="Heading1TOC">
    <w:name w:val="Heading1 TOC"/>
    <w:basedOn w:val="Normal"/>
    <w:qFormat/>
    <w:rsid w:val="00187C17"/>
    <w:pPr>
      <w:spacing w:before="240" w:after="120"/>
    </w:pPr>
    <w:rPr>
      <w:rFonts w:ascii="Times New Roman" w:hAnsi="Times New Roman"/>
      <w:b/>
      <w:sz w:val="32"/>
    </w:rPr>
  </w:style>
  <w:style w:type="paragraph" w:customStyle="1" w:styleId="Heading2TOC">
    <w:name w:val="Heading2 TOC"/>
    <w:basedOn w:val="Normal"/>
    <w:qFormat/>
    <w:rsid w:val="00187C17"/>
    <w:pPr>
      <w:spacing w:before="240" w:after="60"/>
    </w:pPr>
    <w:rPr>
      <w:rFonts w:ascii="Times New Roman" w:hAnsi="Times New Roman"/>
      <w:b/>
      <w:sz w:val="28"/>
    </w:rPr>
  </w:style>
  <w:style w:type="character" w:customStyle="1" w:styleId="Underline">
    <w:name w:val="Underline"/>
    <w:basedOn w:val="DefaultParagraphFont"/>
    <w:qFormat/>
    <w:rsid w:val="00187C17"/>
    <w:rPr>
      <w:u w:val="single"/>
    </w:rPr>
  </w:style>
  <w:style w:type="character" w:customStyle="1" w:styleId="BoldandItalics">
    <w:name w:val="Bold and Italics"/>
    <w:qFormat/>
    <w:rsid w:val="00187C17"/>
    <w:rPr>
      <w:b/>
      <w:i/>
      <w:u w:val="none"/>
    </w:rPr>
  </w:style>
  <w:style w:type="paragraph" w:styleId="BalloonText">
    <w:name w:val="Balloon Text"/>
    <w:basedOn w:val="Normal"/>
    <w:link w:val="BalloonTextChar"/>
    <w:rsid w:val="00187C17"/>
    <w:rPr>
      <w:rFonts w:ascii="Tahoma" w:hAnsi="Tahoma" w:cs="Tahoma"/>
      <w:sz w:val="16"/>
      <w:szCs w:val="16"/>
    </w:rPr>
  </w:style>
  <w:style w:type="character" w:customStyle="1" w:styleId="BalloonTextChar">
    <w:name w:val="Balloon Text Char"/>
    <w:basedOn w:val="DefaultParagraphFont"/>
    <w:link w:val="BalloonText"/>
    <w:rsid w:val="00187C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7C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7C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2474</Words>
  <Characters>15436</Characters>
  <Application>Microsoft Office Word</Application>
  <DocSecurity>0</DocSecurity>
  <Lines>372</Lines>
  <Paragraphs>152</Paragraphs>
  <ScaleCrop>false</ScaleCrop>
  <Company>Author-it Software Corporation Ltd.</Company>
  <LinksUpToDate>false</LinksUpToDate>
  <CharactersWithSpaces>17782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FDFSFGP2B Operate a grinding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2012-05-27T00:08:00Z</dcterms:created>
  <dcterms:modified xsi:type="dcterms:W3CDTF">2012-05-27T00:08:00Z</dcterms:modified>
</cp:coreProperties>
</file>