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6438" w:rsidP="00196438">
      <w:pPr>
        <w:pStyle w:val="Title"/>
      </w:pPr>
      <w:bookmarkStart w:id="0" w:name="_GoBack"/>
      <w:bookmarkEnd w:id="0"/>
      <w:r>
        <w:fldChar w:fldCharType="begin"/>
      </w:r>
      <w:r>
        <w:instrText xml:space="preserve"> TITLE   \* MERGEFORMAT </w:instrText>
      </w:r>
      <w:r>
        <w:fldChar w:fldCharType="separate"/>
      </w:r>
      <w:r>
        <w:t>FDFPHGMP1A Follow work procedures to maintain Good Manufacturing Practice</w:t>
      </w:r>
      <w:r>
        <w:fldChar w:fldCharType="end"/>
      </w:r>
    </w:p>
    <w:p w:rsidR="00196438" w:rsidP="00196438">
      <w:pPr>
        <w:pStyle w:val="Version"/>
        <w:sectPr w:rsidSect="00CA78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78DA" w:rsidP="00CA78DA">
      <w:pPr>
        <w:pStyle w:val="SuperHeading"/>
      </w:pPr>
      <w:r w:rsidRPr="00CA78DA">
        <w:t>FDFPHGMP1A Follow work procedures to maintain Good Manufacturing Practice</w:t>
      </w:r>
    </w:p>
    <w:p w:rsidR="00000000" w:rsidRPr="00CA78DA" w:rsidP="00CA78DA">
      <w:pPr>
        <w:pStyle w:val="Heading1"/>
      </w:pPr>
      <w:bookmarkStart w:id="1" w:name="O_320465"/>
      <w:bookmarkEnd w:id="1"/>
      <w:r w:rsidRPr="00CA78DA">
        <w:t>Modification History</w:t>
      </w:r>
    </w:p>
    <w:p w:rsidR="00000000" w:rsidRPr="00CA78DA" w:rsidP="00CA78DA">
      <w:pPr>
        <w:pStyle w:val="BodyText"/>
      </w:pPr>
      <w:r w:rsidRPr="00CA78DA">
        <w:t>Not applicable.</w:t>
      </w:r>
    </w:p>
    <w:p w:rsidR="00000000" w:rsidRPr="00CA78DA" w:rsidP="00CA78DA">
      <w:pPr>
        <w:pStyle w:val="AllowPageBreak"/>
      </w:pPr>
    </w:p>
    <w:p w:rsidR="00000000" w:rsidRPr="00CA78DA" w:rsidP="00CA78DA">
      <w:pPr>
        <w:pStyle w:val="Heading1"/>
      </w:pPr>
      <w:bookmarkStart w:id="2" w:name="O_320466"/>
      <w:bookmarkEnd w:id="2"/>
      <w:r w:rsidRPr="00CA78DA">
        <w:t>Unit Descriptor</w:t>
      </w:r>
    </w:p>
    <w:p w:rsidR="00000000" w:rsidRPr="00CA78DA" w:rsidP="00CA78DA">
      <w:pPr>
        <w:pStyle w:val="BodyText"/>
      </w:pPr>
      <w:r w:rsidRPr="00CA78DA">
        <w:t>This i</w:t>
      </w:r>
      <w:r w:rsidRPr="00CA78DA">
        <w:t>s a Core unit for pharmaceutical processing. It covers the skills and knowledge required to comply with relevant Good Manufacturing Practice (GMP) codes and workplace quality standards.</w:t>
      </w:r>
    </w:p>
    <w:p w:rsidR="00000000" w:rsidRPr="00CA78DA" w:rsidP="00CA78DA">
      <w:pPr>
        <w:pStyle w:val="BodyText"/>
      </w:pPr>
      <w:r w:rsidRPr="00CA78DA">
        <w:t>This is a Core unit for pharmaceutical processing. It covers the skill</w:t>
      </w:r>
      <w:r w:rsidRPr="00CA78DA">
        <w:t>s and knowledge required to comply with relevant Good Manufacturing Practice (GMP) codes and workplace quality standards</w:t>
      </w:r>
    </w:p>
    <w:p w:rsidR="00000000" w:rsidRPr="00CA78DA" w:rsidP="00CA78DA">
      <w:pPr>
        <w:pStyle w:val="AllowPageBreak"/>
      </w:pPr>
    </w:p>
    <w:p w:rsidR="00000000" w:rsidRPr="00CA78DA" w:rsidP="00CA78DA">
      <w:pPr>
        <w:pStyle w:val="Heading1"/>
      </w:pPr>
      <w:bookmarkStart w:id="3" w:name="O_320467"/>
      <w:bookmarkEnd w:id="3"/>
      <w:r w:rsidRPr="00CA78DA">
        <w:t>Application of the Unit</w:t>
      </w:r>
    </w:p>
    <w:p w:rsidR="00000000" w:rsidRPr="00CA78DA" w:rsidP="00CA78DA">
      <w:pPr>
        <w:pStyle w:val="BodyText"/>
      </w:pPr>
      <w:r w:rsidRPr="00CA78DA">
        <w:t>Not applicable.</w:t>
      </w:r>
    </w:p>
    <w:p w:rsidR="00000000" w:rsidRPr="00CA78DA" w:rsidP="00CA78DA">
      <w:pPr>
        <w:pStyle w:val="AllowPageBreak"/>
      </w:pPr>
    </w:p>
    <w:p w:rsidR="00000000" w:rsidRPr="00CA78DA" w:rsidP="00CA78DA">
      <w:pPr>
        <w:pStyle w:val="Heading1"/>
      </w:pPr>
      <w:bookmarkStart w:id="4" w:name="O_320468"/>
      <w:bookmarkEnd w:id="4"/>
      <w:r w:rsidRPr="00CA78DA">
        <w:t>Licensing/Regulatory Information</w:t>
      </w:r>
    </w:p>
    <w:p w:rsidR="00000000" w:rsidRPr="00CA78DA" w:rsidP="00CA78DA">
      <w:pPr>
        <w:pStyle w:val="BodyText"/>
      </w:pPr>
      <w:r w:rsidRPr="00CA78DA">
        <w:t>Not applicable.</w:t>
      </w:r>
    </w:p>
    <w:p w:rsidR="00000000" w:rsidRPr="00CA78DA" w:rsidP="00CA78DA">
      <w:pPr>
        <w:pStyle w:val="AllowPageBreak"/>
      </w:pPr>
    </w:p>
    <w:p w:rsidR="00000000" w:rsidRPr="00CA78DA" w:rsidP="00CA78DA">
      <w:pPr>
        <w:pStyle w:val="Heading1"/>
      </w:pPr>
      <w:bookmarkStart w:id="5" w:name="O_320475"/>
      <w:bookmarkEnd w:id="5"/>
      <w:r w:rsidRPr="00CA78DA">
        <w:t>Pre-Requisites</w:t>
      </w:r>
    </w:p>
    <w:p w:rsidR="00000000" w:rsidRPr="00CA78DA" w:rsidP="00CA78DA">
      <w:pPr>
        <w:pStyle w:val="BodyText"/>
      </w:pPr>
      <w:r w:rsidRPr="00CA78DA">
        <w:t>Not applicable.</w:t>
      </w:r>
    </w:p>
    <w:p w:rsidR="00000000" w:rsidRPr="00CA78DA" w:rsidP="00CA78DA">
      <w:pPr>
        <w:pStyle w:val="AllowPageBreak"/>
      </w:pPr>
    </w:p>
    <w:p w:rsidR="00000000" w:rsidRPr="00CA78DA" w:rsidP="00CA78DA">
      <w:pPr>
        <w:pStyle w:val="Heading1"/>
      </w:pPr>
      <w:bookmarkStart w:id="6" w:name="O_320464"/>
      <w:bookmarkEnd w:id="6"/>
      <w:r w:rsidRPr="00CA78DA">
        <w:t>Employability Skills Information</w:t>
      </w:r>
    </w:p>
    <w:p w:rsidR="00000000" w:rsidRPr="00CA78DA" w:rsidP="00CA78DA">
      <w:pPr>
        <w:pStyle w:val="BodyText"/>
      </w:pPr>
      <w:r w:rsidRPr="00CA78DA">
        <w:t>Not applicable.</w:t>
      </w:r>
    </w:p>
    <w:p w:rsidR="00000000" w:rsidRPr="00CA78DA" w:rsidP="00CA78DA">
      <w:pPr>
        <w:pStyle w:val="AllowPageBreak"/>
      </w:pPr>
    </w:p>
    <w:p w:rsidR="00000000" w:rsidRPr="00CA78DA" w:rsidP="00CA78DA">
      <w:pPr>
        <w:pStyle w:val="Heading1"/>
      </w:pPr>
      <w:bookmarkStart w:id="7" w:name="O_320469"/>
      <w:bookmarkEnd w:id="7"/>
      <w:r w:rsidRPr="00CA78DA">
        <w:t>Elements and Performance Criteria Pre-Content</w:t>
      </w:r>
    </w:p>
    <w:p w:rsidR="00000000" w:rsidRPr="00CA78DA" w:rsidP="00CA78DA">
      <w:pPr>
        <w:pStyle w:val="BodyText"/>
      </w:pPr>
      <w:r w:rsidRPr="00CA78DA">
        <w:t>Not applicable.</w:t>
      </w:r>
    </w:p>
    <w:p w:rsidR="00000000" w:rsidRPr="00CA78DA" w:rsidP="00CA78DA">
      <w:pPr>
        <w:pStyle w:val="AllowPageBreak"/>
      </w:pPr>
    </w:p>
    <w:p w:rsidR="00000000" w:rsidRPr="00CA78DA" w:rsidP="00CA78DA">
      <w:pPr>
        <w:pStyle w:val="Heading1"/>
      </w:pPr>
      <w:bookmarkStart w:id="8" w:name="O_320470"/>
      <w:bookmarkEnd w:id="8"/>
      <w:r w:rsidRPr="00CA78D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9643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rPr>
                <w:rStyle w:val="SpecialBold"/>
              </w:rPr>
              <w:t>Elements and Performance Criteria</w:t>
            </w:r>
          </w:p>
        </w:tc>
      </w:tr>
      <w:tr w:rsidTr="0019643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A78DA" w:rsidP="00CA78DA">
            <w:pPr>
              <w:pStyle w:val="BodyText"/>
            </w:pPr>
            <w:r w:rsidRPr="00CA78D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rPr>
                <w:rStyle w:val="SpecialBold"/>
              </w:rPr>
              <w:t>Performance Criteria</w:t>
            </w:r>
          </w:p>
        </w:tc>
      </w:tr>
      <w:tr w:rsidTr="0019643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1</w:t>
            </w:r>
          </w:p>
        </w:tc>
        <w:tc>
          <w:tcPr>
            <w:tcW w:w="3000" w:type="dxa"/>
            <w:vMerge w:val="restart"/>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Identify requirements of GMP related to own work</w:t>
            </w:r>
          </w:p>
        </w:tc>
        <w:tc>
          <w:tcPr>
            <w:tcW w:w="500" w:type="dxa"/>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1.1</w:t>
            </w:r>
          </w:p>
        </w:tc>
        <w:tc>
          <w:tcPr>
            <w:tcW w:w="5100" w:type="dxa"/>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Sources of information on GMP requirements arelocated</w:t>
            </w:r>
          </w:p>
        </w:tc>
      </w:tr>
      <w:tr w:rsidTr="001964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1.2</w:t>
            </w:r>
          </w:p>
        </w:tc>
        <w:tc>
          <w:tcPr>
            <w:tcW w:w="5100" w:type="dxa"/>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GMP requirements and responsibilities relatedto own work are identified</w:t>
            </w:r>
          </w:p>
        </w:tc>
      </w:tr>
      <w:tr w:rsidTr="0019643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2</w:t>
            </w:r>
          </w:p>
        </w:tc>
        <w:tc>
          <w:tcPr>
            <w:tcW w:w="3000" w:type="dxa"/>
            <w:vMerge w:val="restart"/>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Observe personal hygiene and conduct to meet GMP requirements</w:t>
            </w:r>
          </w:p>
        </w:tc>
        <w:tc>
          <w:tcPr>
            <w:tcW w:w="500" w:type="dxa"/>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2.1</w:t>
            </w:r>
          </w:p>
        </w:tc>
        <w:tc>
          <w:tcPr>
            <w:tcW w:w="5100" w:type="dxa"/>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Personal hygiene meets GMP requirements</w:t>
            </w:r>
          </w:p>
        </w:tc>
      </w:tr>
      <w:tr w:rsidTr="001964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2.2</w:t>
            </w:r>
          </w:p>
        </w:tc>
        <w:tc>
          <w:tcPr>
            <w:tcW w:w="5100" w:type="dxa"/>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Clothing is prepared, used, stored anddisposed of according to GMP and workplace procedures</w:t>
            </w:r>
          </w:p>
        </w:tc>
      </w:tr>
      <w:tr w:rsidTr="001964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2.3</w:t>
            </w:r>
          </w:p>
        </w:tc>
        <w:tc>
          <w:tcPr>
            <w:tcW w:w="5100" w:type="dxa"/>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Personal movement around the workplacecomplies with area entry and exit procedures</w:t>
            </w:r>
          </w:p>
        </w:tc>
      </w:tr>
      <w:tr w:rsidTr="0019643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3</w:t>
            </w:r>
          </w:p>
        </w:tc>
        <w:tc>
          <w:tcPr>
            <w:tcW w:w="3000" w:type="dxa"/>
            <w:vMerge w:val="restart"/>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Follow GMP requirements when carrying out work activities</w:t>
            </w:r>
          </w:p>
        </w:tc>
        <w:tc>
          <w:tcPr>
            <w:tcW w:w="500" w:type="dxa"/>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3.1</w:t>
            </w:r>
          </w:p>
        </w:tc>
        <w:tc>
          <w:tcPr>
            <w:tcW w:w="5100" w:type="dxa"/>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GMP requirements are identified</w:t>
            </w:r>
          </w:p>
        </w:tc>
      </w:tr>
      <w:tr w:rsidTr="001964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3.2</w:t>
            </w:r>
          </w:p>
        </w:tc>
        <w:tc>
          <w:tcPr>
            <w:tcW w:w="5100" w:type="dxa"/>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Work area, materials, equipment and productare routinely monitored to ensure compliance with GMPrequirements</w:t>
            </w:r>
          </w:p>
        </w:tc>
      </w:tr>
      <w:tr w:rsidTr="001964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3.3</w:t>
            </w:r>
          </w:p>
        </w:tc>
        <w:tc>
          <w:tcPr>
            <w:tcW w:w="5100" w:type="dxa"/>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Raw materials, product and packagingcomponents are handled according to GMP and workplaceprocedures</w:t>
            </w:r>
          </w:p>
        </w:tc>
      </w:tr>
      <w:tr w:rsidTr="001964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3.4</w:t>
            </w:r>
          </w:p>
        </w:tc>
        <w:tc>
          <w:tcPr>
            <w:tcW w:w="5100" w:type="dxa"/>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Contamination is identified and appropriatecontrol measures are followed relating to work responsibilities andaccording to GMP requirements</w:t>
            </w:r>
          </w:p>
        </w:tc>
      </w:tr>
      <w:tr w:rsidTr="001964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3.5</w:t>
            </w:r>
          </w:p>
        </w:tc>
        <w:tc>
          <w:tcPr>
            <w:tcW w:w="5100" w:type="dxa"/>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Processes, practices or conditions which arenot consistent with GMP are identified and reported accordi</w:t>
            </w:r>
            <w:r w:rsidRPr="00CA78DA">
              <w:t>ng toworkplace reporting procedure</w:t>
            </w:r>
          </w:p>
        </w:tc>
      </w:tr>
      <w:tr w:rsidTr="001964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3.6</w:t>
            </w:r>
          </w:p>
        </w:tc>
        <w:tc>
          <w:tcPr>
            <w:tcW w:w="5100" w:type="dxa"/>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The workplace is maintained in a clean andtidy order to meet GMP housekeeping standards</w:t>
            </w:r>
          </w:p>
        </w:tc>
      </w:tr>
      <w:tr w:rsidTr="0019643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4</w:t>
            </w:r>
          </w:p>
        </w:tc>
        <w:tc>
          <w:tcPr>
            <w:tcW w:w="3000" w:type="dxa"/>
            <w:vMerge w:val="restart"/>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Complete workplace documentation to support GMP</w:t>
            </w:r>
          </w:p>
        </w:tc>
        <w:tc>
          <w:tcPr>
            <w:tcW w:w="500" w:type="dxa"/>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4.1</w:t>
            </w:r>
          </w:p>
        </w:tc>
        <w:tc>
          <w:tcPr>
            <w:tcW w:w="5100" w:type="dxa"/>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Documentation and recording requirements areidentified</w:t>
            </w:r>
          </w:p>
        </w:tc>
      </w:tr>
      <w:tr w:rsidTr="001964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78DA">
            <w:pPr>
              <w:pStyle w:val="BodyText"/>
              <w:rPr>
                <w:lang w:val="en-NZ"/>
              </w:rPr>
            </w:pPr>
            <w:r w:rsidRPr="00CA78DA">
              <w:t>4.2</w:t>
            </w:r>
          </w:p>
        </w:tc>
        <w:tc>
          <w:tcPr>
            <w:tcW w:w="5100" w:type="dxa"/>
            <w:tcBorders>
              <w:top w:val="nil"/>
              <w:left w:val="nil"/>
              <w:bottom w:val="nil"/>
              <w:right w:val="nil"/>
            </w:tcBorders>
            <w:tcMar>
              <w:top w:w="0" w:type="dxa"/>
              <w:left w:w="62" w:type="dxa"/>
              <w:bottom w:w="0" w:type="dxa"/>
              <w:right w:w="62" w:type="dxa"/>
            </w:tcMar>
          </w:tcPr>
          <w:p w:rsidR="00000000" w:rsidRPr="00CA78DA" w:rsidP="00CA78DA">
            <w:pPr>
              <w:pStyle w:val="BodyText"/>
            </w:pPr>
            <w:r w:rsidRPr="00CA78DA">
              <w:t>Information is recorded according to workplacereporting procedures to meet GMP requirements</w:t>
            </w:r>
          </w:p>
        </w:tc>
      </w:tr>
    </w:tbl>
    <w:p w:rsidR="00000000" w:rsidRPr="00CA78DA" w:rsidP="00CA78DA">
      <w:pPr>
        <w:pStyle w:val="BodyText"/>
      </w:pPr>
    </w:p>
    <w:p w:rsidR="00000000" w:rsidRPr="00CA78DA" w:rsidP="00CA78DA">
      <w:pPr>
        <w:pStyle w:val="AllowPageBreak"/>
      </w:pPr>
    </w:p>
    <w:p w:rsidR="00000000" w:rsidRPr="00CA78DA" w:rsidP="00CA78DA">
      <w:pPr>
        <w:pStyle w:val="Heading1"/>
      </w:pPr>
      <w:bookmarkStart w:id="9" w:name="O_320471"/>
      <w:bookmarkEnd w:id="9"/>
      <w:r w:rsidRPr="00CA78DA">
        <w:t>Required Skills and Knowledge</w:t>
      </w:r>
    </w:p>
    <w:p w:rsidR="00000000" w:rsidRPr="00CA78DA" w:rsidP="00CA78DA">
      <w:pPr>
        <w:pStyle w:val="BodyText"/>
      </w:pPr>
      <w:r w:rsidRPr="00CA78DA">
        <w:t>Not applicable.</w:t>
      </w:r>
    </w:p>
    <w:p w:rsidR="00000000" w:rsidRPr="00CA78DA" w:rsidP="00CA78DA">
      <w:pPr>
        <w:pStyle w:val="AllowPageBreak"/>
      </w:pPr>
    </w:p>
    <w:p w:rsidR="00000000" w:rsidRPr="00CA78DA" w:rsidP="00CA78DA">
      <w:pPr>
        <w:pStyle w:val="Heading1"/>
      </w:pPr>
      <w:bookmarkStart w:id="10" w:name="O_320472"/>
      <w:bookmarkEnd w:id="10"/>
      <w:r w:rsidRPr="00CA78DA">
        <w:t>Evidence Guide</w:t>
      </w:r>
    </w:p>
    <w:p w:rsidR="00000000" w:rsidRPr="00CA78DA" w:rsidP="00CA78DA">
      <w:pPr>
        <w:pStyle w:val="BodyText"/>
      </w:pPr>
      <w:r w:rsidRPr="00CA78DA">
        <w:t>The assessment process must address all of the following items of e</w:t>
      </w:r>
      <w:r w:rsidRPr="00CA78DA">
        <w:t>vidence.</w:t>
      </w:r>
    </w:p>
    <w:p w:rsidR="00000000" w:rsidRPr="00CA78DA" w:rsidP="00CA78DA">
      <w:pPr>
        <w:pStyle w:val="BodyText"/>
      </w:pPr>
      <w:r w:rsidRPr="00CA78DA">
        <w:t>Ability to:</w:t>
      </w:r>
    </w:p>
    <w:p w:rsidR="00000000" w:rsidRPr="00CA78DA" w:rsidP="00CA78DA">
      <w:pPr>
        <w:pStyle w:val="BodyText"/>
      </w:pPr>
      <w:r w:rsidRPr="00CA78DA">
        <w:t>1. Locate and follow workplace information relating to GMP responsibilities</w:t>
      </w:r>
    </w:p>
    <w:p w:rsidR="00000000" w:rsidRPr="00CA78DA" w:rsidP="00CA78DA">
      <w:pPr>
        <w:pStyle w:val="BodyText"/>
      </w:pPr>
      <w:r w:rsidRPr="00CA78DA">
        <w:t xml:space="preserve">2. Maintain personal hygiene consistent with GMP </w:t>
      </w:r>
    </w:p>
    <w:p w:rsidR="00000000" w:rsidRPr="00CA78DA" w:rsidP="00CA78DA">
      <w:pPr>
        <w:pStyle w:val="BodyText"/>
      </w:pPr>
      <w:r w:rsidRPr="00CA78DA">
        <w:t>3. Follow workplace procedures when moving around the workplace and/or from one task to another to maintain GMP</w:t>
      </w:r>
    </w:p>
    <w:p w:rsidR="00000000" w:rsidRPr="00CA78DA" w:rsidP="00CA78DA">
      <w:pPr>
        <w:pStyle w:val="BodyText"/>
      </w:pPr>
      <w:r w:rsidRPr="00CA78DA">
        <w:t xml:space="preserve">4. Use, store and dispose of appropriate clothing / footwear as required by work tasks and consistent with GMP </w:t>
      </w:r>
    </w:p>
    <w:p w:rsidR="00000000" w:rsidRPr="00CA78DA" w:rsidP="00CA78DA">
      <w:pPr>
        <w:pStyle w:val="BodyText"/>
      </w:pPr>
      <w:r w:rsidRPr="00CA78DA">
        <w:t>5. Carry out relevant checks and</w:t>
      </w:r>
      <w:r w:rsidRPr="00CA78DA">
        <w:t xml:space="preserve"> inspections as required. This may include visual checks and inspections on equipment and/or raw materials, product, packaging components and processing conditions relevant to own work</w:t>
      </w:r>
    </w:p>
    <w:p w:rsidR="00000000" w:rsidRPr="00CA78DA" w:rsidP="00CA78DA">
      <w:pPr>
        <w:pStyle w:val="BodyText"/>
      </w:pPr>
      <w:r w:rsidRPr="00CA78DA">
        <w:t>6. Identify and respond to out-of-specification or unacceptable conditi</w:t>
      </w:r>
      <w:r w:rsidRPr="00CA78DA">
        <w:t>ons or performance. This may include making adjustments within level of responsibility and/or reporting</w:t>
      </w:r>
    </w:p>
    <w:p w:rsidR="00000000" w:rsidRPr="00CA78DA" w:rsidP="00CA78DA">
      <w:pPr>
        <w:pStyle w:val="BodyText"/>
      </w:pPr>
      <w:r w:rsidRPr="00CA78DA">
        <w:t>7. Follow GMP when carrying out work functions</w:t>
      </w:r>
    </w:p>
    <w:p w:rsidR="00000000" w:rsidRPr="00CA78DA" w:rsidP="00CA78DA">
      <w:pPr>
        <w:pStyle w:val="BodyText"/>
      </w:pPr>
      <w:r w:rsidRPr="00CA78DA">
        <w:t xml:space="preserve">8. Identify and report situations that do or could compromise GMP </w:t>
      </w:r>
    </w:p>
    <w:p w:rsidR="00000000" w:rsidRPr="00CA78DA" w:rsidP="00CA78DA">
      <w:pPr>
        <w:pStyle w:val="BodyText"/>
      </w:pPr>
      <w:r w:rsidRPr="00CA78DA">
        <w:t>9. Handle and/or dispose of out-of-spe</w:t>
      </w:r>
      <w:r w:rsidRPr="00CA78DA">
        <w:t>cification or contaminated materials, packaging components/consumables and product, waste and recyclable material according to GMP as required by work responsibilities</w:t>
      </w:r>
    </w:p>
    <w:p w:rsidR="00000000" w:rsidRPr="00CA78DA" w:rsidP="00CA78DA">
      <w:pPr>
        <w:pStyle w:val="BodyText"/>
      </w:pPr>
      <w:r w:rsidRPr="00CA78DA">
        <w:t>10. Maintain the work area in a clean and tidy state</w:t>
      </w:r>
    </w:p>
    <w:p w:rsidR="00000000" w:rsidRPr="00CA78DA" w:rsidP="00CA78DA">
      <w:pPr>
        <w:pStyle w:val="BodyText"/>
      </w:pPr>
      <w:r w:rsidRPr="00CA78DA">
        <w:t>11. Identify and report signs of pe</w:t>
      </w:r>
      <w:r w:rsidRPr="00CA78DA">
        <w:t>st infestation</w:t>
      </w:r>
    </w:p>
    <w:p w:rsidR="00000000" w:rsidRPr="00CA78DA" w:rsidP="00CA78DA">
      <w:pPr>
        <w:pStyle w:val="BodyText"/>
      </w:pPr>
      <w:r w:rsidRPr="00CA78DA">
        <w:t>Knowledge of:</w:t>
      </w:r>
    </w:p>
    <w:p w:rsidR="00000000" w:rsidRPr="00CA78DA" w:rsidP="00CA78DA">
      <w:pPr>
        <w:pStyle w:val="BodyText"/>
      </w:pPr>
      <w:r w:rsidRPr="00CA78DA">
        <w:t>12. The role of GMP in preventing contamination, its relationship to legislative responsibilities and potential implications of non-compliance</w:t>
      </w:r>
    </w:p>
    <w:p w:rsidR="00000000" w:rsidRPr="00CA78DA" w:rsidP="00CA78DA">
      <w:pPr>
        <w:pStyle w:val="BodyText"/>
      </w:pPr>
      <w:r w:rsidRPr="00CA78DA">
        <w:t>13. The relationship between the Code of Good Manufacturing Practice and workplace p</w:t>
      </w:r>
      <w:r w:rsidRPr="00CA78DA">
        <w:t xml:space="preserve">rocedures, systems and processes </w:t>
      </w:r>
    </w:p>
    <w:p w:rsidR="00000000" w:rsidRPr="00CA78DA" w:rsidP="00CA78DA">
      <w:pPr>
        <w:pStyle w:val="BodyText"/>
      </w:pPr>
      <w:r w:rsidRPr="00CA78DA">
        <w:t>14. GMP personnel and their respective responsibilities</w:t>
      </w:r>
    </w:p>
    <w:p w:rsidR="00000000" w:rsidRPr="00CA78DA" w:rsidP="00CA78DA">
      <w:pPr>
        <w:pStyle w:val="BodyText"/>
      </w:pPr>
      <w:r w:rsidRPr="00CA78DA">
        <w:t xml:space="preserve">15. Personal role, responsibility and accountability for implementing GMP </w:t>
      </w:r>
    </w:p>
    <w:p w:rsidR="00000000" w:rsidRPr="00CA78DA" w:rsidP="00CA78DA">
      <w:pPr>
        <w:pStyle w:val="BodyText"/>
      </w:pPr>
      <w:r w:rsidRPr="00CA78DA">
        <w:t xml:space="preserve">16. Sources of advice on GMP requirements for own work </w:t>
      </w:r>
    </w:p>
    <w:p w:rsidR="00000000" w:rsidRPr="00CA78DA" w:rsidP="00CA78DA">
      <w:pPr>
        <w:pStyle w:val="BodyText"/>
      </w:pPr>
      <w:r w:rsidRPr="00CA78DA">
        <w:t xml:space="preserve">17. Personal clothing and footwear </w:t>
      </w:r>
      <w:r w:rsidRPr="00CA78DA">
        <w:t>requirements for working in and/or moving between work areas</w:t>
      </w:r>
    </w:p>
    <w:p w:rsidR="00000000" w:rsidRPr="00CA78DA" w:rsidP="00CA78DA">
      <w:pPr>
        <w:pStyle w:val="BodyText"/>
      </w:pPr>
      <w:r w:rsidRPr="00CA78DA">
        <w:t>18. Personal clothing use, storage and disposal requirements</w:t>
      </w:r>
    </w:p>
    <w:p w:rsidR="00000000" w:rsidRPr="00CA78DA" w:rsidP="00CA78DA">
      <w:pPr>
        <w:pStyle w:val="BodyText"/>
      </w:pPr>
      <w:r w:rsidRPr="00CA78DA">
        <w:t xml:space="preserve">19. Common types and sources of contamination that occurs in the work area </w:t>
      </w:r>
    </w:p>
    <w:p w:rsidR="00000000" w:rsidRPr="00CA78DA" w:rsidP="00CA78DA">
      <w:pPr>
        <w:pStyle w:val="BodyText"/>
      </w:pPr>
      <w:r w:rsidRPr="00CA78DA">
        <w:t>20. Control methods and procedures used in the work area t</w:t>
      </w:r>
      <w:r w:rsidRPr="00CA78DA">
        <w:t xml:space="preserve">o maintain GMP. This includes an understanding of the purpose of control, the consequence if not controlled and the method of control where relevant </w:t>
      </w:r>
    </w:p>
    <w:p w:rsidR="00000000" w:rsidRPr="00CA78DA" w:rsidP="00CA78DA">
      <w:pPr>
        <w:pStyle w:val="BodyText"/>
      </w:pPr>
      <w:r w:rsidRPr="00CA78DA">
        <w:t>21. Monitoring, inspection and checking procedures relating to process control requirements</w:t>
      </w:r>
    </w:p>
    <w:p w:rsidR="00000000" w:rsidRPr="00CA78DA" w:rsidP="00CA78DA">
      <w:pPr>
        <w:pStyle w:val="BodyText"/>
      </w:pPr>
      <w:r w:rsidRPr="00CA78DA">
        <w:t xml:space="preserve">22. Standards </w:t>
      </w:r>
      <w:r w:rsidRPr="00CA78DA">
        <w:t>for materials, equipment and utensils used in the work area</w:t>
      </w:r>
    </w:p>
    <w:p w:rsidR="00000000" w:rsidRPr="00CA78DA" w:rsidP="00CA78DA">
      <w:pPr>
        <w:pStyle w:val="BodyText"/>
      </w:pPr>
      <w:r w:rsidRPr="00CA78DA">
        <w:t>23. Evidence of out-of-standard or unacceptable performance</w:t>
      </w:r>
    </w:p>
    <w:p w:rsidR="00000000" w:rsidRPr="00CA78DA" w:rsidP="00CA78DA">
      <w:pPr>
        <w:pStyle w:val="BodyText"/>
      </w:pPr>
      <w:r w:rsidRPr="00CA78DA">
        <w:t xml:space="preserve">24. Action required in the event of non-compliance </w:t>
      </w:r>
    </w:p>
    <w:p w:rsidR="00000000" w:rsidRPr="00CA78DA" w:rsidP="00CA78DA">
      <w:pPr>
        <w:pStyle w:val="BodyText"/>
      </w:pPr>
      <w:r w:rsidRPr="00CA78DA">
        <w:t>25. Storage and handling requirements for raw materials, packaging components and pr</w:t>
      </w:r>
      <w:r w:rsidRPr="00CA78DA">
        <w:t>oduct relevant to work role</w:t>
      </w:r>
    </w:p>
    <w:p w:rsidR="00000000" w:rsidRPr="00CA78DA" w:rsidP="00CA78DA">
      <w:pPr>
        <w:pStyle w:val="BodyText"/>
      </w:pPr>
      <w:r w:rsidRPr="00CA78DA">
        <w:t>26. Housekeeping requirements and responsibilities relating to own work. Where relevant this includes use and storage of housekeeping/cleaning equipment</w:t>
      </w:r>
    </w:p>
    <w:p w:rsidR="00000000" w:rsidRPr="00CA78DA" w:rsidP="00CA78DA">
      <w:pPr>
        <w:pStyle w:val="BodyText"/>
      </w:pPr>
      <w:r w:rsidRPr="00CA78DA">
        <w:t>27. Waste collection, recycling and handling procedures relevant to own wor</w:t>
      </w:r>
      <w:r w:rsidRPr="00CA78DA">
        <w:t>k responsibilities</w:t>
      </w:r>
    </w:p>
    <w:p w:rsidR="00000000" w:rsidRPr="00CA78DA" w:rsidP="00CA78DA">
      <w:pPr>
        <w:pStyle w:val="BodyText"/>
      </w:pPr>
      <w:r w:rsidRPr="00CA78DA">
        <w:t xml:space="preserve">28. Responsibilities for reporting and recording quality information </w:t>
      </w:r>
    </w:p>
    <w:p w:rsidR="00000000" w:rsidRPr="00CA78DA" w:rsidP="00CA78DA">
      <w:pPr>
        <w:pStyle w:val="BodyText"/>
      </w:pPr>
      <w:r w:rsidRPr="00CA78DA">
        <w:t>The assessment process must address all of the following items of evidence.</w:t>
      </w:r>
    </w:p>
    <w:p w:rsidR="00000000" w:rsidRPr="00CA78DA" w:rsidP="00CA78DA">
      <w:pPr>
        <w:pStyle w:val="BodyText"/>
      </w:pPr>
      <w:r w:rsidRPr="00CA78DA">
        <w:t>Ability to:</w:t>
      </w:r>
    </w:p>
    <w:p w:rsidR="00000000" w:rsidRPr="00CA78DA" w:rsidP="00CA78DA">
      <w:pPr>
        <w:pStyle w:val="BodyText"/>
      </w:pPr>
      <w:r w:rsidRPr="00CA78DA">
        <w:t>1. Locate and follow workplace information relating to GMP responsibilities</w:t>
      </w:r>
    </w:p>
    <w:p w:rsidR="00000000" w:rsidRPr="00CA78DA" w:rsidP="00CA78DA">
      <w:pPr>
        <w:pStyle w:val="BodyText"/>
      </w:pPr>
      <w:r w:rsidRPr="00CA78DA">
        <w:t xml:space="preserve">2. Maintain personal hygiene consistent with GMP </w:t>
      </w:r>
    </w:p>
    <w:p w:rsidR="00000000" w:rsidRPr="00CA78DA" w:rsidP="00CA78DA">
      <w:pPr>
        <w:pStyle w:val="BodyText"/>
      </w:pPr>
      <w:r w:rsidRPr="00CA78DA">
        <w:t>3. Follow workplace procedures when moving around the workplace and/or from one task to another to maintain GMP</w:t>
      </w:r>
    </w:p>
    <w:p w:rsidR="00000000" w:rsidRPr="00CA78DA" w:rsidP="00CA78DA">
      <w:pPr>
        <w:pStyle w:val="BodyText"/>
      </w:pPr>
      <w:r w:rsidRPr="00CA78DA">
        <w:t>4. Use, store and dispose of appropriate clothing / footwear as required by work tasks and con</w:t>
      </w:r>
      <w:r w:rsidRPr="00CA78DA">
        <w:t xml:space="preserve">sistent with GMP </w:t>
      </w:r>
    </w:p>
    <w:p w:rsidR="00000000" w:rsidRPr="00CA78DA" w:rsidP="00CA78DA">
      <w:pPr>
        <w:pStyle w:val="BodyText"/>
      </w:pPr>
      <w:r w:rsidRPr="00CA78DA">
        <w:t>5. Carry out relevant checks and inspections as required. This may include visual checks and inspections on equipment and/or raw materials, product, packaging components and processing conditions relevant to own work</w:t>
      </w:r>
    </w:p>
    <w:p w:rsidR="00000000" w:rsidRPr="00CA78DA" w:rsidP="00CA78DA">
      <w:pPr>
        <w:pStyle w:val="BodyText"/>
      </w:pPr>
      <w:r w:rsidRPr="00CA78DA">
        <w:t>6. Identify and respo</w:t>
      </w:r>
      <w:r w:rsidRPr="00CA78DA">
        <w:t>nd to out-of-specification or unacceptable conditions or performance. This may include making adjustments within level of responsibility and/or reporting</w:t>
      </w:r>
    </w:p>
    <w:p w:rsidR="00000000" w:rsidRPr="00CA78DA" w:rsidP="00CA78DA">
      <w:pPr>
        <w:pStyle w:val="BodyText"/>
      </w:pPr>
      <w:r w:rsidRPr="00CA78DA">
        <w:t>7. Follow GMP when carrying out work functions</w:t>
      </w:r>
    </w:p>
    <w:p w:rsidR="00000000" w:rsidRPr="00CA78DA" w:rsidP="00CA78DA">
      <w:pPr>
        <w:pStyle w:val="BodyText"/>
      </w:pPr>
      <w:r w:rsidRPr="00CA78DA">
        <w:t>8. Identify and report situations that do or could comp</w:t>
      </w:r>
      <w:r w:rsidRPr="00CA78DA">
        <w:t xml:space="preserve">romise GMP </w:t>
      </w:r>
    </w:p>
    <w:p w:rsidR="00000000" w:rsidRPr="00CA78DA" w:rsidP="00CA78DA">
      <w:pPr>
        <w:pStyle w:val="BodyText"/>
      </w:pPr>
      <w:r w:rsidRPr="00CA78DA">
        <w:t>9. Handle and/or dispose of out-of-specification or contaminated materials, packaging components/consumables and product, waste and recyclable material according to GMP as required by work responsibilities</w:t>
      </w:r>
    </w:p>
    <w:p w:rsidR="00000000" w:rsidRPr="00CA78DA" w:rsidP="00CA78DA">
      <w:pPr>
        <w:pStyle w:val="BodyText"/>
      </w:pPr>
      <w:r w:rsidRPr="00CA78DA">
        <w:t xml:space="preserve">10. Maintain the work area in a clean </w:t>
      </w:r>
      <w:r w:rsidRPr="00CA78DA">
        <w:t>and tidy state</w:t>
      </w:r>
    </w:p>
    <w:p w:rsidR="00000000" w:rsidRPr="00CA78DA" w:rsidP="00CA78DA">
      <w:pPr>
        <w:pStyle w:val="BodyText"/>
      </w:pPr>
      <w:r w:rsidRPr="00CA78DA">
        <w:t>11. Identify and report signs of pest infestation</w:t>
      </w:r>
    </w:p>
    <w:p w:rsidR="00000000" w:rsidRPr="00CA78DA" w:rsidP="00CA78DA">
      <w:pPr>
        <w:pStyle w:val="BodyText"/>
      </w:pPr>
      <w:r w:rsidRPr="00CA78DA">
        <w:t>Knowledge of:</w:t>
      </w:r>
    </w:p>
    <w:p w:rsidR="00000000" w:rsidRPr="00CA78DA" w:rsidP="00CA78DA">
      <w:pPr>
        <w:pStyle w:val="BodyText"/>
      </w:pPr>
      <w:r w:rsidRPr="00CA78DA">
        <w:t>12. The role of GMP in preventing contamination, its relationship to legislative responsibilities and potential implications of non-compliance</w:t>
      </w:r>
    </w:p>
    <w:p w:rsidR="00000000" w:rsidRPr="00CA78DA" w:rsidP="00CA78DA">
      <w:pPr>
        <w:pStyle w:val="BodyText"/>
      </w:pPr>
      <w:r w:rsidRPr="00CA78DA">
        <w:t>13. The relationship between the C</w:t>
      </w:r>
      <w:r w:rsidRPr="00CA78DA">
        <w:t xml:space="preserve">ode of Good Manufacturing Practice and workplace procedures, systems and processes </w:t>
      </w:r>
    </w:p>
    <w:p w:rsidR="00000000" w:rsidRPr="00CA78DA" w:rsidP="00CA78DA">
      <w:pPr>
        <w:pStyle w:val="BodyText"/>
      </w:pPr>
      <w:r w:rsidRPr="00CA78DA">
        <w:t>14. GMP personnel and their respective responsibilities</w:t>
      </w:r>
    </w:p>
    <w:p w:rsidR="00000000" w:rsidRPr="00CA78DA" w:rsidP="00CA78DA">
      <w:pPr>
        <w:pStyle w:val="BodyText"/>
      </w:pPr>
      <w:r w:rsidRPr="00CA78DA">
        <w:t xml:space="preserve">15. Personal role, responsibility and accountability for implementing GMP </w:t>
      </w:r>
    </w:p>
    <w:p w:rsidR="00000000" w:rsidRPr="00CA78DA" w:rsidP="00CA78DA">
      <w:pPr>
        <w:pStyle w:val="BodyText"/>
      </w:pPr>
      <w:r w:rsidRPr="00CA78DA">
        <w:t>16. Sources of advice on GMP requirements</w:t>
      </w:r>
      <w:r w:rsidRPr="00CA78DA">
        <w:t xml:space="preserve"> for own work </w:t>
      </w:r>
    </w:p>
    <w:p w:rsidR="00000000" w:rsidRPr="00CA78DA" w:rsidP="00CA78DA">
      <w:pPr>
        <w:pStyle w:val="BodyText"/>
      </w:pPr>
      <w:r w:rsidRPr="00CA78DA">
        <w:t>17. Personal clothing and footwear requirements for working in and/or moving between work areas</w:t>
      </w:r>
    </w:p>
    <w:p w:rsidR="00000000" w:rsidRPr="00CA78DA" w:rsidP="00CA78DA">
      <w:pPr>
        <w:pStyle w:val="BodyText"/>
      </w:pPr>
      <w:r w:rsidRPr="00CA78DA">
        <w:t>18. Personal clothing use, storage and disposal requirements</w:t>
      </w:r>
    </w:p>
    <w:p w:rsidR="00000000" w:rsidRPr="00CA78DA" w:rsidP="00CA78DA">
      <w:pPr>
        <w:pStyle w:val="BodyText"/>
      </w:pPr>
      <w:r w:rsidRPr="00CA78DA">
        <w:t xml:space="preserve">19. Common types and sources of contamination that occurs in the work area </w:t>
      </w:r>
    </w:p>
    <w:p w:rsidR="00000000" w:rsidRPr="00CA78DA" w:rsidP="00CA78DA">
      <w:pPr>
        <w:pStyle w:val="BodyText"/>
      </w:pPr>
      <w:r w:rsidRPr="00CA78DA">
        <w:t>20. Cont</w:t>
      </w:r>
      <w:r w:rsidRPr="00CA78DA">
        <w:t xml:space="preserve">rol methods and procedures used in the work area to maintain GMP. This includes an understanding of the purpose of control, the consequence if not controlled and the method of control where relevant </w:t>
      </w:r>
    </w:p>
    <w:p w:rsidR="00000000" w:rsidRPr="00CA78DA" w:rsidP="00CA78DA">
      <w:pPr>
        <w:pStyle w:val="BodyText"/>
      </w:pPr>
      <w:r w:rsidRPr="00CA78DA">
        <w:t>21. Monitoring, inspection and checking procedures relat</w:t>
      </w:r>
      <w:r w:rsidRPr="00CA78DA">
        <w:t>ing to process control requirements</w:t>
      </w:r>
    </w:p>
    <w:p w:rsidR="00000000" w:rsidRPr="00CA78DA" w:rsidP="00CA78DA">
      <w:pPr>
        <w:pStyle w:val="BodyText"/>
      </w:pPr>
      <w:r w:rsidRPr="00CA78DA">
        <w:t>22. Standards for materials, equipment and utensils used in the work area</w:t>
      </w:r>
    </w:p>
    <w:p w:rsidR="00000000" w:rsidRPr="00CA78DA" w:rsidP="00CA78DA">
      <w:pPr>
        <w:pStyle w:val="BodyText"/>
      </w:pPr>
      <w:r w:rsidRPr="00CA78DA">
        <w:t>23. Evidence of out-of-standard or unacceptable performance</w:t>
      </w:r>
    </w:p>
    <w:p w:rsidR="00000000" w:rsidRPr="00CA78DA" w:rsidP="00CA78DA">
      <w:pPr>
        <w:pStyle w:val="BodyText"/>
      </w:pPr>
      <w:r w:rsidRPr="00CA78DA">
        <w:t xml:space="preserve">24. Action required in the event of non-compliance </w:t>
      </w:r>
    </w:p>
    <w:p w:rsidR="00000000" w:rsidRPr="00CA78DA" w:rsidP="00CA78DA">
      <w:pPr>
        <w:pStyle w:val="BodyText"/>
      </w:pPr>
      <w:r w:rsidRPr="00CA78DA">
        <w:t>25. Storage and handling requireme</w:t>
      </w:r>
      <w:r w:rsidRPr="00CA78DA">
        <w:t>nts for raw materials, packaging components and product relevant to work role</w:t>
      </w:r>
    </w:p>
    <w:p w:rsidR="00000000" w:rsidRPr="00CA78DA" w:rsidP="00CA78DA">
      <w:pPr>
        <w:pStyle w:val="BodyText"/>
      </w:pPr>
      <w:r w:rsidRPr="00CA78DA">
        <w:t>26. Housekeeping requirements and responsibilities relating to own work. Where relevant this includes use and storage of housekeeping/cleaning equipment</w:t>
      </w:r>
    </w:p>
    <w:p w:rsidR="00000000" w:rsidRPr="00CA78DA" w:rsidP="00CA78DA">
      <w:pPr>
        <w:pStyle w:val="BodyText"/>
      </w:pPr>
      <w:r w:rsidRPr="00CA78DA">
        <w:t>27. Waste collection, recycling and handling procedures relevant to own work responsibilities</w:t>
      </w:r>
    </w:p>
    <w:p w:rsidR="00000000" w:rsidRPr="00CA78DA" w:rsidP="00CA78DA">
      <w:pPr>
        <w:pStyle w:val="BodyText"/>
      </w:pPr>
      <w:r w:rsidRPr="00CA78DA">
        <w:t xml:space="preserve">28. Responsibilities for reporting and recording quality information </w:t>
      </w:r>
    </w:p>
    <w:p w:rsidR="00000000" w:rsidRPr="00CA78DA" w:rsidP="00CA78DA">
      <w:pPr>
        <w:pStyle w:val="AllowPageBreak"/>
      </w:pPr>
    </w:p>
    <w:p w:rsidR="00000000" w:rsidRPr="00CA78DA" w:rsidP="00CA78DA">
      <w:pPr>
        <w:pStyle w:val="Heading1"/>
      </w:pPr>
      <w:bookmarkStart w:id="11" w:name="O_320473"/>
      <w:bookmarkEnd w:id="11"/>
      <w:r w:rsidRPr="00CA78DA">
        <w:t>Range Statement</w:t>
      </w:r>
    </w:p>
    <w:p w:rsidR="00000000" w:rsidRPr="00CA78DA" w:rsidP="00CA78DA">
      <w:pPr>
        <w:pStyle w:val="BodyText"/>
      </w:pPr>
      <w:r w:rsidRPr="00CA78DA">
        <w:t>The range statement indicates the context for demonstrating</w:t>
      </w:r>
      <w:r w:rsidRPr="00CA78DA">
        <w:t xml:space="preserve"> competence. This statement is a guide and unless otherwise indicated, items may or may not apply as required by the work context.</w:t>
      </w:r>
    </w:p>
    <w:p w:rsidR="00000000" w:rsidRPr="00CA78DA" w:rsidP="00CA78DA">
      <w:pPr>
        <w:pStyle w:val="BodyText"/>
      </w:pPr>
      <w:r w:rsidRPr="00CA78DA">
        <w:t>- Work is carried out according to company policies and procedures, regulatory and licensing requirements, legislative requir</w:t>
      </w:r>
      <w:r w:rsidRPr="00CA78DA">
        <w:t>ements and industrial awards and agreements</w:t>
      </w:r>
    </w:p>
    <w:p w:rsidR="00000000" w:rsidRPr="00CA78DA" w:rsidP="00CA78DA">
      <w:pPr>
        <w:pStyle w:val="BodyText"/>
      </w:pPr>
      <w:r w:rsidRPr="00CA78DA">
        <w:t>- Legislative requirements are typically reflected in procedures and specifications. Legislation relevant to this industry includes relevant Good Manufacturing Practice (GMP) codes, the Therapeutic Goods Act, lab</w:t>
      </w:r>
      <w:r w:rsidRPr="00CA78DA">
        <w:t xml:space="preserve">elling, weights and measures legislation and legislation covering environmental management, occupational health and safety, anti-discrimination and equal opportunity </w:t>
      </w:r>
    </w:p>
    <w:p w:rsidR="00000000" w:rsidRPr="00CA78DA" w:rsidP="00CA78DA">
      <w:pPr>
        <w:pStyle w:val="BodyText"/>
      </w:pPr>
      <w:r w:rsidRPr="00CA78DA">
        <w:t>- Responsibility for applying good manufacturing practice relates to the person's work ar</w:t>
      </w:r>
      <w:r w:rsidRPr="00CA78DA">
        <w:t>ea</w:t>
      </w:r>
    </w:p>
    <w:p w:rsidR="00000000" w:rsidRPr="00CA78DA" w:rsidP="00CA78DA">
      <w:pPr>
        <w:pStyle w:val="BodyText"/>
      </w:pPr>
      <w:r w:rsidRPr="00CA78DA">
        <w:t>- Reporting systems may include electronic and manual data recording and storage systems</w:t>
      </w:r>
    </w:p>
    <w:p w:rsidR="00000000" w:rsidRPr="00CA78DA" w:rsidP="00CA78DA">
      <w:pPr>
        <w:pStyle w:val="BodyText"/>
      </w:pPr>
      <w:r w:rsidRPr="00CA78DA">
        <w:t>The range statement indicates the context for demonstrating competence. This statement is a guide and unless otherwise indicated, items may or may not apply as requ</w:t>
      </w:r>
      <w:r w:rsidRPr="00CA78DA">
        <w:t>ired by the work context.</w:t>
      </w:r>
    </w:p>
    <w:p w:rsidR="00000000" w:rsidRPr="00CA78DA" w:rsidP="00CA78DA">
      <w:pPr>
        <w:pStyle w:val="BodyText"/>
      </w:pPr>
      <w:r w:rsidRPr="00CA78DA">
        <w:t>- Work is carried out according to company policies and procedures, regulatory and licensing requirements, legislative requirements and industrial awards and agreements</w:t>
      </w:r>
    </w:p>
    <w:p w:rsidR="00000000" w:rsidRPr="00CA78DA" w:rsidP="00CA78DA">
      <w:pPr>
        <w:pStyle w:val="BodyText"/>
      </w:pPr>
      <w:r w:rsidRPr="00CA78DA">
        <w:t>- Legislative requirements are typically reflected in procedu</w:t>
      </w:r>
      <w:r w:rsidRPr="00CA78DA">
        <w:t xml:space="preserve">res and specifications. Legislation relevant to this </w:t>
      </w:r>
      <w:r w:rsidRPr="00CA78DA">
        <w:t xml:space="preserve">industry includes relevant Good Manufacturing Practice (GMP) codes, the Therapeutic Goods Act, labelling, weights and measures legislation and legislation covering environmental management, occupational </w:t>
      </w:r>
      <w:r w:rsidRPr="00CA78DA">
        <w:t xml:space="preserve">health and safety, anti-discrimination and equal opportunity </w:t>
      </w:r>
    </w:p>
    <w:p w:rsidR="00000000" w:rsidRPr="00CA78DA" w:rsidP="00CA78DA">
      <w:pPr>
        <w:pStyle w:val="BodyText"/>
      </w:pPr>
      <w:r w:rsidRPr="00CA78DA">
        <w:t>- Responsibility for applying good manufacturing practice relates to the person's work area</w:t>
      </w:r>
    </w:p>
    <w:p w:rsidR="00000000" w:rsidRPr="00CA78DA" w:rsidP="00CA78DA">
      <w:pPr>
        <w:pStyle w:val="BodyText"/>
      </w:pPr>
      <w:r w:rsidRPr="00CA78DA">
        <w:t>- Reporting systems may include electronic and manual data recording and storage systems</w:t>
      </w:r>
    </w:p>
    <w:p w:rsidR="00000000" w:rsidRPr="00CA78DA" w:rsidP="00CA78DA">
      <w:pPr>
        <w:pStyle w:val="AllowPageBreak"/>
      </w:pPr>
    </w:p>
    <w:p w:rsidR="00000000" w:rsidRPr="00CA78DA" w:rsidP="00CA78DA">
      <w:pPr>
        <w:pStyle w:val="Heading1"/>
      </w:pPr>
      <w:bookmarkStart w:id="12" w:name="O_320474"/>
      <w:bookmarkEnd w:id="12"/>
      <w:r w:rsidRPr="00CA78DA">
        <w:t>Unit Sector(s)</w:t>
      </w:r>
    </w:p>
    <w:p w:rsidR="00000000" w:rsidRPr="00CA78DA" w:rsidP="00CA78DA">
      <w:pPr>
        <w:pStyle w:val="BodyText"/>
      </w:pPr>
      <w:r w:rsidRPr="00CA78DA">
        <w:t>Not applicable.</w:t>
      </w:r>
    </w:p>
    <w:p w:rsidR="00000000" w:rsidRPr="00CA78DA" w:rsidP="00CA78DA"/>
    <w:sectPr w:rsidSect="00CA78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6438" w:rsidP="001964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438" w:rsidP="00CA78D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96438" w:rsidP="00CA78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96438" w:rsidP="00CA78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DA" w:rsidRPr="00196438" w:rsidP="001964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438" w:rsidRPr="002D2AF8" w:rsidP="00CA78DA">
    <w:pPr>
      <w:pStyle w:val="Header"/>
      <w:framePr w:wrap="around"/>
    </w:pPr>
    <w:r>
      <w:fldChar w:fldCharType="begin"/>
    </w:r>
    <w:r>
      <w:instrText xml:space="preserve"> TITLE   \* MERGEFORMAT </w:instrText>
    </w:r>
    <w:r>
      <w:fldChar w:fldCharType="separate"/>
    </w:r>
    <w:r>
      <w:t>FDFPHGMP1A Follow work procedures to maintain Good Manufacturing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96438" w:rsidP="00CA78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8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78DA"/>
    <w:pPr>
      <w:spacing w:before="360" w:after="60"/>
      <w:outlineLvl w:val="0"/>
    </w:pPr>
    <w:rPr>
      <w:sz w:val="32"/>
    </w:rPr>
  </w:style>
  <w:style w:type="paragraph" w:styleId="Heading2">
    <w:name w:val="heading 2"/>
    <w:basedOn w:val="HeadingBase"/>
    <w:next w:val="BodyText"/>
    <w:link w:val="Heading2Char"/>
    <w:qFormat/>
    <w:rsid w:val="00CA78DA"/>
    <w:pPr>
      <w:keepLines/>
      <w:spacing w:before="240" w:after="120"/>
      <w:outlineLvl w:val="1"/>
    </w:pPr>
    <w:rPr>
      <w:sz w:val="28"/>
      <w:szCs w:val="40"/>
    </w:rPr>
  </w:style>
  <w:style w:type="paragraph" w:styleId="Heading3">
    <w:name w:val="heading 3"/>
    <w:basedOn w:val="HeadingBase"/>
    <w:next w:val="BodyText"/>
    <w:link w:val="Heading3Char"/>
    <w:qFormat/>
    <w:rsid w:val="00CA78DA"/>
    <w:pPr>
      <w:spacing w:before="180" w:after="120"/>
      <w:outlineLvl w:val="2"/>
    </w:pPr>
    <w:rPr>
      <w:spacing w:val="-10"/>
      <w:kern w:val="32"/>
    </w:rPr>
  </w:style>
  <w:style w:type="paragraph" w:styleId="Heading4">
    <w:name w:val="heading 4"/>
    <w:basedOn w:val="HeadingBase"/>
    <w:next w:val="BodyText"/>
    <w:link w:val="Heading4Char"/>
    <w:qFormat/>
    <w:rsid w:val="00CA78DA"/>
    <w:pPr>
      <w:spacing w:before="160" w:after="120"/>
      <w:outlineLvl w:val="3"/>
    </w:pPr>
    <w:rPr>
      <w:sz w:val="22"/>
    </w:rPr>
  </w:style>
  <w:style w:type="paragraph" w:styleId="Heading5">
    <w:name w:val="heading 5"/>
    <w:basedOn w:val="HeadingBase"/>
    <w:next w:val="Normal"/>
    <w:link w:val="Heading5Char"/>
    <w:qFormat/>
    <w:rsid w:val="00CA78DA"/>
    <w:pPr>
      <w:spacing w:before="80"/>
      <w:outlineLvl w:val="4"/>
    </w:pPr>
    <w:rPr>
      <w:color w:val="918585"/>
      <w:sz w:val="20"/>
    </w:rPr>
  </w:style>
  <w:style w:type="paragraph" w:styleId="Heading6">
    <w:name w:val="heading 6"/>
    <w:basedOn w:val="HeadingBase"/>
    <w:next w:val="Normal"/>
    <w:link w:val="Heading6Char"/>
    <w:qFormat/>
    <w:rsid w:val="00CA78DA"/>
    <w:pPr>
      <w:spacing w:before="60"/>
      <w:outlineLvl w:val="5"/>
    </w:pPr>
    <w:rPr>
      <w:color w:val="918585"/>
      <w:sz w:val="20"/>
    </w:rPr>
  </w:style>
  <w:style w:type="paragraph" w:styleId="Heading7">
    <w:name w:val="heading 7"/>
    <w:basedOn w:val="Normal"/>
    <w:next w:val="Normal"/>
    <w:link w:val="Heading7Char"/>
    <w:qFormat/>
    <w:rsid w:val="00CA78DA"/>
    <w:pPr>
      <w:ind w:left="720"/>
      <w:outlineLvl w:val="6"/>
    </w:pPr>
    <w:rPr>
      <w:i/>
    </w:rPr>
  </w:style>
  <w:style w:type="paragraph" w:styleId="Heading8">
    <w:name w:val="heading 8"/>
    <w:basedOn w:val="Normal"/>
    <w:next w:val="Normal"/>
    <w:link w:val="Heading8Char"/>
    <w:qFormat/>
    <w:rsid w:val="00CA78DA"/>
    <w:pPr>
      <w:ind w:left="720"/>
      <w:outlineLvl w:val="7"/>
    </w:pPr>
    <w:rPr>
      <w:i/>
    </w:rPr>
  </w:style>
  <w:style w:type="paragraph" w:styleId="Heading9">
    <w:name w:val="heading 9"/>
    <w:basedOn w:val="Normal"/>
    <w:next w:val="Normal"/>
    <w:link w:val="Heading9Char"/>
    <w:qFormat/>
    <w:rsid w:val="00CA78DA"/>
    <w:pPr>
      <w:ind w:left="720"/>
      <w:outlineLvl w:val="8"/>
    </w:pPr>
    <w:rPr>
      <w:i/>
    </w:rPr>
  </w:style>
  <w:style w:type="character" w:default="1" w:styleId="DefaultParagraphFont">
    <w:name w:val="Default Paragraph Font"/>
    <w:uiPriority w:val="1"/>
    <w:unhideWhenUsed/>
    <w:rsid w:val="00CA78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78DA"/>
  </w:style>
  <w:style w:type="character" w:customStyle="1" w:styleId="Heading1Char">
    <w:name w:val="Heading 1 Char"/>
    <w:basedOn w:val="DefaultParagraphFont"/>
    <w:link w:val="Heading1"/>
    <w:rsid w:val="00CA78DA"/>
    <w:rPr>
      <w:rFonts w:ascii="Times New Roman" w:eastAsia="Times New Roman" w:hAnsi="Times New Roman" w:cs="Times New Roman"/>
      <w:b/>
      <w:sz w:val="32"/>
      <w:szCs w:val="20"/>
      <w:lang w:eastAsia="en-US"/>
    </w:rPr>
  </w:style>
  <w:style w:type="paragraph" w:styleId="BodyText">
    <w:name w:val="Body Text"/>
    <w:basedOn w:val="Normal"/>
    <w:link w:val="BodyTextChar"/>
    <w:rsid w:val="00CA78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78DA"/>
    <w:rPr>
      <w:rFonts w:ascii="Times New Roman" w:eastAsia="Times New Roman" w:hAnsi="Times New Roman" w:cs="Times New Roman"/>
      <w:sz w:val="24"/>
      <w:lang w:eastAsia="en-US"/>
    </w:rPr>
  </w:style>
  <w:style w:type="paragraph" w:styleId="Footer">
    <w:name w:val="footer"/>
    <w:basedOn w:val="Normal"/>
    <w:link w:val="FooterChar"/>
    <w:rsid w:val="00CA78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78DA"/>
    <w:rPr>
      <w:rFonts w:ascii="Times New Roman" w:eastAsia="Times New Roman" w:hAnsi="Times New Roman" w:cs="Times New Roman"/>
      <w:sz w:val="16"/>
      <w:lang w:eastAsia="en-US"/>
    </w:rPr>
  </w:style>
  <w:style w:type="character" w:customStyle="1" w:styleId="SpecialBold">
    <w:name w:val="Special Bold"/>
    <w:basedOn w:val="DefaultParagraphFont"/>
    <w:rsid w:val="00CA78DA"/>
    <w:rPr>
      <w:b/>
      <w:spacing w:val="0"/>
    </w:rPr>
  </w:style>
  <w:style w:type="paragraph" w:customStyle="1" w:styleId="SuperHeading">
    <w:name w:val="SuperHeading"/>
    <w:basedOn w:val="Normal"/>
    <w:rsid w:val="00CA78DA"/>
    <w:pPr>
      <w:spacing w:before="240" w:after="120"/>
      <w:outlineLvl w:val="0"/>
    </w:pPr>
    <w:rPr>
      <w:rFonts w:ascii="Times New Roman" w:hAnsi="Times New Roman"/>
      <w:b/>
      <w:sz w:val="28"/>
    </w:rPr>
  </w:style>
  <w:style w:type="paragraph" w:customStyle="1" w:styleId="AllowPageBreak">
    <w:name w:val="AllowPageBreak"/>
    <w:rsid w:val="00CA78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78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78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78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78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78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78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78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78DA"/>
    <w:rPr>
      <w:rFonts w:ascii="Courier New" w:eastAsia="Times New Roman" w:hAnsi="Courier New" w:cs="Times New Roman"/>
      <w:i/>
      <w:szCs w:val="20"/>
      <w:lang w:eastAsia="en-US"/>
    </w:rPr>
  </w:style>
  <w:style w:type="paragraph" w:customStyle="1" w:styleId="HeadingBase">
    <w:name w:val="Heading Base"/>
    <w:rsid w:val="00CA78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78DA"/>
    <w:pPr>
      <w:tabs>
        <w:tab w:val="right" w:leader="dot" w:pos="9072"/>
      </w:tabs>
      <w:ind w:left="567"/>
    </w:pPr>
    <w:rPr>
      <w:szCs w:val="22"/>
    </w:rPr>
  </w:style>
  <w:style w:type="paragraph" w:customStyle="1" w:styleId="TOCBase">
    <w:name w:val="TOC Base"/>
    <w:rsid w:val="00CA78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78DA"/>
    <w:pPr>
      <w:tabs>
        <w:tab w:val="right" w:leader="dot" w:pos="9072"/>
      </w:tabs>
      <w:spacing w:before="40" w:after="40"/>
      <w:ind w:left="284"/>
    </w:pPr>
    <w:rPr>
      <w:rFonts w:ascii="Times New Roman" w:hAnsi="Times New Roman"/>
    </w:rPr>
  </w:style>
  <w:style w:type="paragraph" w:styleId="TOC1">
    <w:name w:val="toc 1"/>
    <w:basedOn w:val="TOCBase"/>
    <w:next w:val="Normal"/>
    <w:rsid w:val="00CA78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78DA"/>
    <w:pPr>
      <w:spacing w:before="5040"/>
      <w:jc w:val="center"/>
    </w:pPr>
    <w:rPr>
      <w:sz w:val="48"/>
      <w:szCs w:val="72"/>
      <w:lang w:val="en-US"/>
    </w:rPr>
  </w:style>
  <w:style w:type="character" w:customStyle="1" w:styleId="TitleChar">
    <w:name w:val="Title Char"/>
    <w:basedOn w:val="DefaultParagraphFont"/>
    <w:link w:val="Title"/>
    <w:rsid w:val="00CA78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78DA"/>
    <w:pPr>
      <w:tabs>
        <w:tab w:val="left" w:pos="3600"/>
        <w:tab w:val="left" w:pos="3958"/>
      </w:tabs>
    </w:pPr>
  </w:style>
  <w:style w:type="paragraph" w:styleId="List">
    <w:name w:val="List"/>
    <w:basedOn w:val="BodyText"/>
    <w:next w:val="BodyText"/>
    <w:rsid w:val="00CA78DA"/>
    <w:pPr>
      <w:tabs>
        <w:tab w:val="left" w:pos="340"/>
      </w:tabs>
      <w:spacing w:before="60" w:after="60"/>
      <w:ind w:left="340" w:hanging="340"/>
    </w:pPr>
  </w:style>
  <w:style w:type="paragraph" w:styleId="ListBullet">
    <w:name w:val="List Bullet"/>
    <w:basedOn w:val="List"/>
    <w:rsid w:val="00CA78DA"/>
    <w:pPr>
      <w:numPr>
        <w:numId w:val="11"/>
      </w:numPr>
      <w:tabs>
        <w:tab w:val="clear" w:pos="340"/>
      </w:tabs>
      <w:spacing w:before="40" w:after="40"/>
    </w:pPr>
  </w:style>
  <w:style w:type="paragraph" w:customStyle="1" w:styleId="Note">
    <w:name w:val="Note"/>
    <w:basedOn w:val="BodyText"/>
    <w:rsid w:val="00CA78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78DA"/>
    <w:pPr>
      <w:framePr w:wrap="auto" w:hAnchor="text" w:y="6049"/>
    </w:pPr>
    <w:rPr>
      <w:color w:val="000000"/>
      <w:sz w:val="40"/>
    </w:rPr>
  </w:style>
  <w:style w:type="paragraph" w:customStyle="1" w:styleId="TOCTitle">
    <w:name w:val="TOCTitle"/>
    <w:basedOn w:val="Heading1"/>
    <w:rsid w:val="00CA78DA"/>
    <w:pPr>
      <w:spacing w:after="240"/>
      <w:jc w:val="center"/>
      <w:outlineLvl w:val="9"/>
    </w:pPr>
    <w:rPr>
      <w:caps/>
    </w:rPr>
  </w:style>
  <w:style w:type="paragraph" w:customStyle="1" w:styleId="Version">
    <w:name w:val="Version"/>
    <w:rsid w:val="00CA78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78DA"/>
    <w:pPr>
      <w:numPr>
        <w:numId w:val="12"/>
      </w:numPr>
      <w:tabs>
        <w:tab w:val="clear" w:pos="680"/>
      </w:tabs>
    </w:pPr>
  </w:style>
  <w:style w:type="paragraph" w:styleId="Index1">
    <w:name w:val="index 1"/>
    <w:basedOn w:val="Normal"/>
    <w:next w:val="Normal"/>
    <w:semiHidden/>
    <w:rsid w:val="00CA78DA"/>
    <w:pPr>
      <w:keepNext w:val="0"/>
      <w:tabs>
        <w:tab w:val="right" w:pos="4176"/>
      </w:tabs>
      <w:ind w:left="198" w:hanging="198"/>
    </w:pPr>
    <w:rPr>
      <w:rFonts w:ascii="Garamond" w:hAnsi="Garamond"/>
    </w:rPr>
  </w:style>
  <w:style w:type="paragraph" w:styleId="IndexHeading">
    <w:name w:val="index heading"/>
    <w:basedOn w:val="Normal"/>
    <w:next w:val="Index1"/>
    <w:semiHidden/>
    <w:rsid w:val="00CA78DA"/>
    <w:pPr>
      <w:spacing w:before="120" w:after="120"/>
    </w:pPr>
    <w:rPr>
      <w:rFonts w:ascii="Arial" w:hAnsi="Arial"/>
      <w:b/>
      <w:color w:val="918585"/>
      <w:sz w:val="24"/>
    </w:rPr>
  </w:style>
  <w:style w:type="paragraph" w:styleId="Header">
    <w:name w:val="header"/>
    <w:basedOn w:val="Normal"/>
    <w:link w:val="HeaderChar"/>
    <w:rsid w:val="00CA78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78DA"/>
    <w:rPr>
      <w:rFonts w:ascii="Times New Roman" w:eastAsia="Times New Roman" w:hAnsi="Times New Roman" w:cs="Times New Roman"/>
      <w:sz w:val="16"/>
      <w:szCs w:val="20"/>
      <w:lang w:val="en-GB" w:eastAsia="en-US"/>
    </w:rPr>
  </w:style>
  <w:style w:type="paragraph" w:customStyle="1" w:styleId="Chapter">
    <w:name w:val="Chapter"/>
    <w:basedOn w:val="Normal"/>
    <w:rsid w:val="00CA78DA"/>
    <w:pPr>
      <w:spacing w:before="240"/>
    </w:pPr>
    <w:rPr>
      <w:rFonts w:ascii="Times New Roman" w:hAnsi="Times New Roman"/>
      <w:smallCaps/>
      <w:spacing w:val="80"/>
      <w:sz w:val="28"/>
    </w:rPr>
  </w:style>
  <w:style w:type="paragraph" w:customStyle="1" w:styleId="InChapter">
    <w:name w:val="InChapter"/>
    <w:basedOn w:val="Heading3"/>
    <w:rsid w:val="00CA78DA"/>
    <w:pPr>
      <w:spacing w:after="240"/>
      <w:outlineLvl w:val="9"/>
    </w:pPr>
    <w:rPr>
      <w:noProof/>
    </w:rPr>
  </w:style>
  <w:style w:type="paragraph" w:styleId="Index2">
    <w:name w:val="index 2"/>
    <w:basedOn w:val="Normal"/>
    <w:next w:val="Normal"/>
    <w:semiHidden/>
    <w:rsid w:val="00CA78DA"/>
    <w:pPr>
      <w:tabs>
        <w:tab w:val="right" w:pos="4176"/>
      </w:tabs>
      <w:ind w:left="568" w:hanging="284"/>
    </w:pPr>
    <w:rPr>
      <w:rFonts w:ascii="Garamond" w:hAnsi="Garamond"/>
    </w:rPr>
  </w:style>
  <w:style w:type="paragraph" w:customStyle="1" w:styleId="Byline">
    <w:name w:val="Byline"/>
    <w:rsid w:val="00CA78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78DA"/>
    <w:pPr>
      <w:tabs>
        <w:tab w:val="clear" w:pos="3600"/>
        <w:tab w:val="clear" w:pos="3958"/>
      </w:tabs>
      <w:jc w:val="right"/>
    </w:pPr>
  </w:style>
  <w:style w:type="character" w:styleId="Emphasis">
    <w:name w:val="Emphasis"/>
    <w:basedOn w:val="DefaultParagraphFont"/>
    <w:qFormat/>
    <w:rsid w:val="00CA78DA"/>
    <w:rPr>
      <w:i/>
    </w:rPr>
  </w:style>
  <w:style w:type="paragraph" w:styleId="Caption">
    <w:name w:val="caption"/>
    <w:basedOn w:val="BodyText"/>
    <w:next w:val="Normal"/>
    <w:qFormat/>
    <w:rsid w:val="00CA78DA"/>
    <w:pPr>
      <w:framePr w:w="2268" w:hSpace="181" w:vSpace="181" w:wrap="around" w:vAnchor="text" w:hAnchor="page" w:x="1135" w:y="285" w:anchorLock="1"/>
    </w:pPr>
    <w:rPr>
      <w:i/>
    </w:rPr>
  </w:style>
  <w:style w:type="paragraph" w:customStyle="1" w:styleId="MiniTOCTitle">
    <w:name w:val="MiniTOCTitle"/>
    <w:basedOn w:val="Heading4"/>
    <w:rsid w:val="00CA78DA"/>
    <w:pPr>
      <w:spacing w:before="240"/>
      <w:outlineLvl w:val="9"/>
    </w:pPr>
    <w:rPr>
      <w:noProof/>
      <w:sz w:val="24"/>
    </w:rPr>
  </w:style>
  <w:style w:type="paragraph" w:customStyle="1" w:styleId="MiniTOCItem">
    <w:name w:val="MiniTOCItem"/>
    <w:basedOn w:val="ListBullet"/>
    <w:rsid w:val="00CA78DA"/>
    <w:pPr>
      <w:numPr>
        <w:numId w:val="0"/>
      </w:numPr>
      <w:tabs>
        <w:tab w:val="right" w:leader="dot" w:pos="6521"/>
      </w:tabs>
      <w:spacing w:before="0" w:after="0"/>
    </w:pPr>
  </w:style>
  <w:style w:type="paragraph" w:customStyle="1" w:styleId="TOFTitle">
    <w:name w:val="TOFTitle"/>
    <w:basedOn w:val="TOCTitle"/>
    <w:rsid w:val="00CA78DA"/>
  </w:style>
  <w:style w:type="paragraph" w:styleId="TableofFigures">
    <w:name w:val="table of figures"/>
    <w:basedOn w:val="Normal"/>
    <w:next w:val="Normal"/>
    <w:semiHidden/>
    <w:rsid w:val="00CA78DA"/>
    <w:pPr>
      <w:tabs>
        <w:tab w:val="right" w:leader="dot" w:pos="9072"/>
      </w:tabs>
      <w:ind w:left="970" w:hanging="403"/>
    </w:pPr>
    <w:rPr>
      <w:rFonts w:ascii="Times New Roman" w:hAnsi="Times New Roman"/>
      <w:b/>
    </w:rPr>
  </w:style>
  <w:style w:type="paragraph" w:styleId="ListNumber">
    <w:name w:val="List Number"/>
    <w:basedOn w:val="List"/>
    <w:rsid w:val="00CA78DA"/>
    <w:pPr>
      <w:numPr>
        <w:numId w:val="9"/>
      </w:numPr>
    </w:pPr>
  </w:style>
  <w:style w:type="character" w:customStyle="1" w:styleId="WingdingSymbols">
    <w:name w:val="Wingding Symbols"/>
    <w:rsid w:val="00CA78DA"/>
    <w:rPr>
      <w:rFonts w:ascii="Wingdings" w:hAnsi="Wingdings"/>
    </w:rPr>
  </w:style>
  <w:style w:type="paragraph" w:customStyle="1" w:styleId="TableHeading">
    <w:name w:val="Table Heading"/>
    <w:basedOn w:val="HeadingBase"/>
    <w:rsid w:val="00CA78DA"/>
    <w:pPr>
      <w:keepLines/>
      <w:pBdr>
        <w:bottom w:val="single" w:sz="6" w:space="1" w:color="918585"/>
      </w:pBdr>
      <w:spacing w:before="240"/>
    </w:pPr>
  </w:style>
  <w:style w:type="character" w:customStyle="1" w:styleId="HotSpot">
    <w:name w:val="HotSpot"/>
    <w:rsid w:val="00CA78DA"/>
    <w:rPr>
      <w:color w:val="0033CC"/>
      <w:u w:val="none"/>
    </w:rPr>
  </w:style>
  <w:style w:type="paragraph" w:customStyle="1" w:styleId="BodyTextRight">
    <w:name w:val="Body Text Right"/>
    <w:basedOn w:val="BodyText"/>
    <w:rsid w:val="00CA78DA"/>
    <w:pPr>
      <w:spacing w:before="0" w:after="0"/>
      <w:jc w:val="right"/>
    </w:pPr>
  </w:style>
  <w:style w:type="paragraph" w:styleId="Index3">
    <w:name w:val="index 3"/>
    <w:basedOn w:val="ListNumber2"/>
    <w:next w:val="Normal"/>
    <w:semiHidden/>
    <w:rsid w:val="00CA78DA"/>
    <w:pPr>
      <w:numPr>
        <w:numId w:val="0"/>
      </w:numPr>
      <w:tabs>
        <w:tab w:val="right" w:leader="dot" w:pos="4176"/>
      </w:tabs>
    </w:pPr>
  </w:style>
  <w:style w:type="paragraph" w:styleId="ListNumber2">
    <w:name w:val="List Number 2"/>
    <w:basedOn w:val="List2"/>
    <w:rsid w:val="00CA78DA"/>
    <w:pPr>
      <w:numPr>
        <w:numId w:val="8"/>
      </w:numPr>
      <w:tabs>
        <w:tab w:val="clear" w:pos="1060"/>
      </w:tabs>
    </w:pPr>
  </w:style>
  <w:style w:type="paragraph" w:customStyle="1" w:styleId="MarginNote">
    <w:name w:val="Margin Note"/>
    <w:basedOn w:val="BodyText"/>
    <w:rsid w:val="00CA78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78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78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78DA"/>
    <w:rPr>
      <w:sz w:val="32"/>
    </w:rPr>
  </w:style>
  <w:style w:type="paragraph" w:customStyle="1" w:styleId="HeadingProcedure">
    <w:name w:val="Heading Procedure"/>
    <w:basedOn w:val="HeadingBase"/>
    <w:next w:val="Normal"/>
    <w:rsid w:val="00CA78DA"/>
    <w:pPr>
      <w:tabs>
        <w:tab w:val="left" w:pos="0"/>
      </w:tabs>
      <w:spacing w:before="120" w:after="60"/>
    </w:pPr>
    <w:rPr>
      <w:i/>
      <w:color w:val="918585"/>
      <w:sz w:val="22"/>
    </w:rPr>
  </w:style>
  <w:style w:type="paragraph" w:customStyle="1" w:styleId="TableBodyText">
    <w:name w:val="Table Body Text"/>
    <w:basedOn w:val="BodyText"/>
    <w:rsid w:val="00CA78DA"/>
    <w:pPr>
      <w:spacing w:before="60" w:after="60"/>
    </w:pPr>
  </w:style>
  <w:style w:type="paragraph" w:styleId="ListContinue">
    <w:name w:val="List Continue"/>
    <w:basedOn w:val="List"/>
    <w:rsid w:val="00CA78DA"/>
    <w:pPr>
      <w:ind w:firstLine="0"/>
    </w:pPr>
  </w:style>
  <w:style w:type="paragraph" w:customStyle="1" w:styleId="ListNote">
    <w:name w:val="List Note"/>
    <w:basedOn w:val="List"/>
    <w:rsid w:val="00CA78DA"/>
    <w:pPr>
      <w:pBdr>
        <w:top w:val="single" w:sz="6" w:space="2" w:color="918585"/>
        <w:bottom w:val="single" w:sz="6" w:space="2" w:color="918585"/>
      </w:pBdr>
      <w:tabs>
        <w:tab w:val="left" w:pos="1021"/>
      </w:tabs>
      <w:ind w:firstLine="0"/>
    </w:pPr>
  </w:style>
  <w:style w:type="paragraph" w:customStyle="1" w:styleId="Warning">
    <w:name w:val="Warning"/>
    <w:basedOn w:val="BodyText"/>
    <w:rsid w:val="00CA78DA"/>
    <w:pPr>
      <w:shd w:val="clear" w:color="auto" w:fill="D9D9D9"/>
      <w:tabs>
        <w:tab w:val="left" w:pos="992"/>
      </w:tabs>
      <w:ind w:left="119" w:right="119"/>
    </w:pPr>
    <w:rPr>
      <w:sz w:val="20"/>
    </w:rPr>
  </w:style>
  <w:style w:type="paragraph" w:customStyle="1" w:styleId="MarginIcons">
    <w:name w:val="Margin Icons"/>
    <w:basedOn w:val="BodyText"/>
    <w:rsid w:val="00CA78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78DA"/>
    <w:rPr>
      <w:rFonts w:ascii="Courier New" w:hAnsi="Courier New"/>
    </w:rPr>
  </w:style>
  <w:style w:type="paragraph" w:customStyle="1" w:styleId="NoteBullet">
    <w:name w:val="Note Bullet"/>
    <w:basedOn w:val="Note"/>
    <w:rsid w:val="00CA78DA"/>
    <w:pPr>
      <w:tabs>
        <w:tab w:val="clear" w:pos="680"/>
      </w:tabs>
      <w:spacing w:before="60" w:after="60"/>
    </w:pPr>
  </w:style>
  <w:style w:type="paragraph" w:customStyle="1" w:styleId="SubHeading2">
    <w:name w:val="SubHeading2"/>
    <w:basedOn w:val="HeadingBase"/>
    <w:rsid w:val="00CA78DA"/>
    <w:pPr>
      <w:spacing w:before="240" w:after="60"/>
    </w:pPr>
    <w:rPr>
      <w:sz w:val="20"/>
    </w:rPr>
  </w:style>
  <w:style w:type="paragraph" w:customStyle="1" w:styleId="SubHeading1">
    <w:name w:val="SubHeading1"/>
    <w:basedOn w:val="HeadingBase"/>
    <w:rsid w:val="00CA78DA"/>
    <w:pPr>
      <w:spacing w:before="240" w:after="60"/>
    </w:pPr>
    <w:rPr>
      <w:color w:val="918585"/>
      <w:sz w:val="22"/>
    </w:rPr>
  </w:style>
  <w:style w:type="paragraph" w:customStyle="1" w:styleId="SideHeading">
    <w:name w:val="Side Heading"/>
    <w:basedOn w:val="HeadingBase"/>
    <w:rsid w:val="00CA78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78DA"/>
    <w:pPr>
      <w:numPr>
        <w:numId w:val="10"/>
      </w:numPr>
    </w:pPr>
  </w:style>
  <w:style w:type="paragraph" w:styleId="PlainText">
    <w:name w:val="Plain Text"/>
    <w:basedOn w:val="Normal"/>
    <w:link w:val="PlainTextChar"/>
    <w:rsid w:val="00CA78DA"/>
    <w:rPr>
      <w:sz w:val="20"/>
    </w:rPr>
  </w:style>
  <w:style w:type="character" w:customStyle="1" w:styleId="PlainTextChar">
    <w:name w:val="Plain Text Char"/>
    <w:basedOn w:val="DefaultParagraphFont"/>
    <w:link w:val="PlainText"/>
    <w:rsid w:val="00CA78DA"/>
    <w:rPr>
      <w:rFonts w:ascii="Courier New" w:eastAsia="Times New Roman" w:hAnsi="Courier New" w:cs="Times New Roman"/>
      <w:sz w:val="20"/>
      <w:szCs w:val="20"/>
      <w:lang w:eastAsia="en-US"/>
    </w:rPr>
  </w:style>
  <w:style w:type="character" w:customStyle="1" w:styleId="MenuOption">
    <w:name w:val="Menu Option"/>
    <w:basedOn w:val="DefaultParagraphFont"/>
    <w:rsid w:val="00CA78DA"/>
    <w:rPr>
      <w:b/>
      <w:smallCaps/>
    </w:rPr>
  </w:style>
  <w:style w:type="paragraph" w:customStyle="1" w:styleId="TableListNumber">
    <w:name w:val="Table List Number"/>
    <w:basedOn w:val="ListNumber"/>
    <w:rsid w:val="00CA78DA"/>
    <w:pPr>
      <w:numPr>
        <w:numId w:val="0"/>
      </w:numPr>
    </w:pPr>
  </w:style>
  <w:style w:type="paragraph" w:styleId="TOC4">
    <w:name w:val="toc 4"/>
    <w:basedOn w:val="TOCBase"/>
    <w:next w:val="Normal"/>
    <w:semiHidden/>
    <w:rsid w:val="00CA78DA"/>
    <w:pPr>
      <w:tabs>
        <w:tab w:val="right" w:leader="dot" w:pos="9071"/>
      </w:tabs>
      <w:ind w:left="1701"/>
    </w:pPr>
  </w:style>
  <w:style w:type="paragraph" w:customStyle="1" w:styleId="ListAlpha">
    <w:name w:val="List Alpha"/>
    <w:basedOn w:val="List"/>
    <w:rsid w:val="00CA78DA"/>
    <w:pPr>
      <w:numPr>
        <w:numId w:val="7"/>
      </w:numPr>
    </w:pPr>
  </w:style>
  <w:style w:type="paragraph" w:customStyle="1" w:styleId="ListAlpha2">
    <w:name w:val="List Alpha 2"/>
    <w:basedOn w:val="List2"/>
    <w:rsid w:val="00CA78DA"/>
    <w:pPr>
      <w:numPr>
        <w:numId w:val="6"/>
      </w:numPr>
    </w:pPr>
  </w:style>
  <w:style w:type="paragraph" w:styleId="List2">
    <w:name w:val="List 2"/>
    <w:basedOn w:val="BodyText"/>
    <w:rsid w:val="00CA78DA"/>
    <w:pPr>
      <w:tabs>
        <w:tab w:val="left" w:pos="680"/>
      </w:tabs>
      <w:spacing w:before="60" w:after="60"/>
      <w:ind w:left="680" w:hanging="340"/>
    </w:pPr>
  </w:style>
  <w:style w:type="paragraph" w:styleId="List3">
    <w:name w:val="List 3"/>
    <w:basedOn w:val="BodyText"/>
    <w:rsid w:val="00CA78DA"/>
    <w:pPr>
      <w:tabs>
        <w:tab w:val="left" w:pos="1021"/>
      </w:tabs>
      <w:spacing w:before="60" w:after="60"/>
      <w:ind w:left="1020" w:hanging="340"/>
    </w:pPr>
  </w:style>
  <w:style w:type="paragraph" w:styleId="List4">
    <w:name w:val="List 4"/>
    <w:basedOn w:val="BodyText"/>
    <w:rsid w:val="00CA78DA"/>
    <w:pPr>
      <w:tabs>
        <w:tab w:val="left" w:pos="1361"/>
      </w:tabs>
      <w:spacing w:before="60" w:after="60"/>
      <w:ind w:left="1361" w:hanging="340"/>
    </w:pPr>
  </w:style>
  <w:style w:type="paragraph" w:styleId="List5">
    <w:name w:val="List 5"/>
    <w:basedOn w:val="BodyText"/>
    <w:rsid w:val="00CA78DA"/>
    <w:pPr>
      <w:tabs>
        <w:tab w:val="left" w:pos="1701"/>
      </w:tabs>
      <w:spacing w:before="60" w:after="60"/>
      <w:ind w:left="1701" w:hanging="340"/>
    </w:pPr>
  </w:style>
  <w:style w:type="paragraph" w:styleId="ListBullet3">
    <w:name w:val="List Bullet 3"/>
    <w:basedOn w:val="List3"/>
    <w:rsid w:val="00CA78DA"/>
    <w:pPr>
      <w:numPr>
        <w:numId w:val="13"/>
      </w:numPr>
      <w:tabs>
        <w:tab w:val="clear" w:pos="1021"/>
      </w:tabs>
      <w:ind w:left="1037" w:hanging="357"/>
    </w:pPr>
  </w:style>
  <w:style w:type="paragraph" w:styleId="ListBullet4">
    <w:name w:val="List Bullet 4"/>
    <w:basedOn w:val="List4"/>
    <w:rsid w:val="00CA78DA"/>
    <w:pPr>
      <w:numPr>
        <w:numId w:val="1"/>
      </w:numPr>
    </w:pPr>
  </w:style>
  <w:style w:type="paragraph" w:styleId="ListBullet5">
    <w:name w:val="List Bullet 5"/>
    <w:basedOn w:val="List5"/>
    <w:rsid w:val="00CA78DA"/>
    <w:pPr>
      <w:numPr>
        <w:numId w:val="2"/>
      </w:numPr>
    </w:pPr>
  </w:style>
  <w:style w:type="paragraph" w:styleId="ListContinue2">
    <w:name w:val="List Continue 2"/>
    <w:basedOn w:val="List2"/>
    <w:rsid w:val="00CA78DA"/>
    <w:pPr>
      <w:ind w:firstLine="0"/>
    </w:pPr>
  </w:style>
  <w:style w:type="paragraph" w:styleId="ListContinue3">
    <w:name w:val="List Continue 3"/>
    <w:basedOn w:val="List3"/>
    <w:rsid w:val="00CA78DA"/>
    <w:pPr>
      <w:ind w:left="1021" w:firstLine="0"/>
    </w:pPr>
  </w:style>
  <w:style w:type="paragraph" w:styleId="ListContinue4">
    <w:name w:val="List Continue 4"/>
    <w:basedOn w:val="List4"/>
    <w:rsid w:val="00CA78DA"/>
    <w:pPr>
      <w:ind w:firstLine="0"/>
    </w:pPr>
  </w:style>
  <w:style w:type="paragraph" w:styleId="ListContinue5">
    <w:name w:val="List Continue 5"/>
    <w:basedOn w:val="List5"/>
    <w:rsid w:val="00CA78DA"/>
    <w:pPr>
      <w:ind w:firstLine="0"/>
    </w:pPr>
  </w:style>
  <w:style w:type="paragraph" w:styleId="ListNumber3">
    <w:name w:val="List Number 3"/>
    <w:basedOn w:val="List3"/>
    <w:rsid w:val="00CA78DA"/>
    <w:pPr>
      <w:numPr>
        <w:numId w:val="3"/>
      </w:numPr>
    </w:pPr>
  </w:style>
  <w:style w:type="paragraph" w:styleId="ListNumber4">
    <w:name w:val="List Number 4"/>
    <w:basedOn w:val="List4"/>
    <w:rsid w:val="00CA78DA"/>
    <w:pPr>
      <w:numPr>
        <w:numId w:val="4"/>
      </w:numPr>
    </w:pPr>
  </w:style>
  <w:style w:type="paragraph" w:styleId="ListNumber5">
    <w:name w:val="List Number 5"/>
    <w:basedOn w:val="List5"/>
    <w:rsid w:val="00CA78DA"/>
    <w:pPr>
      <w:numPr>
        <w:numId w:val="5"/>
      </w:numPr>
    </w:pPr>
  </w:style>
  <w:style w:type="paragraph" w:styleId="BlockText">
    <w:name w:val="Block Text"/>
    <w:basedOn w:val="Normal"/>
    <w:rsid w:val="00CA78DA"/>
    <w:pPr>
      <w:spacing w:after="120"/>
      <w:ind w:left="1440" w:right="1440"/>
    </w:pPr>
  </w:style>
  <w:style w:type="character" w:customStyle="1" w:styleId="Subscript">
    <w:name w:val="Subscript"/>
    <w:basedOn w:val="DefaultParagraphFont"/>
    <w:rsid w:val="00CA78DA"/>
    <w:rPr>
      <w:sz w:val="16"/>
      <w:vertAlign w:val="subscript"/>
    </w:rPr>
  </w:style>
  <w:style w:type="character" w:customStyle="1" w:styleId="Superscript">
    <w:name w:val="Superscript"/>
    <w:basedOn w:val="DefaultParagraphFont"/>
    <w:rsid w:val="00CA78DA"/>
    <w:rPr>
      <w:sz w:val="16"/>
      <w:vertAlign w:val="superscript"/>
    </w:rPr>
  </w:style>
  <w:style w:type="character" w:customStyle="1" w:styleId="Symbols">
    <w:name w:val="Symbols"/>
    <w:basedOn w:val="DefaultParagraphFont"/>
    <w:rsid w:val="00CA78DA"/>
    <w:rPr>
      <w:rFonts w:ascii="Symbol" w:hAnsi="Symbol"/>
    </w:rPr>
  </w:style>
  <w:style w:type="character" w:customStyle="1" w:styleId="MenuOptions">
    <w:name w:val="Menu Options"/>
    <w:basedOn w:val="DefaultParagraphFont"/>
    <w:rsid w:val="00CA78DA"/>
    <w:rPr>
      <w:rFonts w:ascii="Arial Narrow" w:hAnsi="Arial Narrow"/>
      <w:smallCaps/>
    </w:rPr>
  </w:style>
  <w:style w:type="character" w:customStyle="1" w:styleId="Buttons">
    <w:name w:val="Buttons"/>
    <w:basedOn w:val="DefaultParagraphFont"/>
    <w:rsid w:val="00CA78DA"/>
    <w:rPr>
      <w:b/>
    </w:rPr>
  </w:style>
  <w:style w:type="character" w:customStyle="1" w:styleId="Underlined">
    <w:name w:val="Underlined"/>
    <w:basedOn w:val="DefaultParagraphFont"/>
    <w:rsid w:val="00CA78DA"/>
    <w:rPr>
      <w:u w:val="single"/>
    </w:rPr>
  </w:style>
  <w:style w:type="paragraph" w:customStyle="1" w:styleId="TableBodyTextRight">
    <w:name w:val="Table Body Text Right"/>
    <w:basedOn w:val="TableBodyText"/>
    <w:rsid w:val="00CA78DA"/>
    <w:pPr>
      <w:widowControl w:val="0"/>
      <w:autoSpaceDE w:val="0"/>
      <w:autoSpaceDN w:val="0"/>
      <w:adjustRightInd w:val="0"/>
      <w:jc w:val="right"/>
    </w:pPr>
    <w:rPr>
      <w:rFonts w:cs="Arial"/>
      <w:szCs w:val="18"/>
    </w:rPr>
  </w:style>
  <w:style w:type="paragraph" w:customStyle="1" w:styleId="CopyrightText">
    <w:name w:val="Copyright Text"/>
    <w:basedOn w:val="BodyText"/>
    <w:rsid w:val="00CA78DA"/>
    <w:rPr>
      <w:sz w:val="18"/>
    </w:rPr>
  </w:style>
  <w:style w:type="paragraph" w:customStyle="1" w:styleId="BodySmallRight">
    <w:name w:val="Body Small Right"/>
    <w:basedOn w:val="BodyTextRight"/>
    <w:rsid w:val="00CA78DA"/>
    <w:rPr>
      <w:sz w:val="18"/>
      <w:szCs w:val="18"/>
    </w:rPr>
  </w:style>
  <w:style w:type="paragraph" w:customStyle="1" w:styleId="MarginEdition">
    <w:name w:val="Margin Edition"/>
    <w:basedOn w:val="MarginNote"/>
    <w:rsid w:val="00CA78DA"/>
    <w:pPr>
      <w:spacing w:before="0" w:after="0"/>
    </w:pPr>
    <w:rPr>
      <w:rFonts w:ascii="Times New Roman" w:hAnsi="Times New Roman"/>
      <w:color w:val="999999"/>
    </w:rPr>
  </w:style>
  <w:style w:type="paragraph" w:customStyle="1" w:styleId="Spacer">
    <w:name w:val="Spacer"/>
    <w:basedOn w:val="Normal"/>
    <w:rsid w:val="00CA78DA"/>
    <w:rPr>
      <w:sz w:val="2"/>
      <w:szCs w:val="2"/>
    </w:rPr>
  </w:style>
  <w:style w:type="character" w:customStyle="1" w:styleId="Small">
    <w:name w:val="Small"/>
    <w:basedOn w:val="DefaultParagraphFont"/>
    <w:rsid w:val="00CA78DA"/>
    <w:rPr>
      <w:sz w:val="16"/>
    </w:rPr>
  </w:style>
  <w:style w:type="paragraph" w:customStyle="1" w:styleId="WideTable">
    <w:name w:val="Wide Table"/>
    <w:basedOn w:val="Normal"/>
    <w:rsid w:val="00CA78DA"/>
    <w:pPr>
      <w:ind w:left="-1418"/>
    </w:pPr>
    <w:rPr>
      <w:sz w:val="2"/>
      <w:szCs w:val="2"/>
    </w:rPr>
  </w:style>
  <w:style w:type="character" w:styleId="PageNumber">
    <w:name w:val="page number"/>
    <w:basedOn w:val="DefaultParagraphFont"/>
    <w:rsid w:val="00CA78DA"/>
  </w:style>
  <w:style w:type="paragraph" w:styleId="Quote">
    <w:name w:val="Quote"/>
    <w:basedOn w:val="Heading1"/>
    <w:link w:val="QuoteChar"/>
    <w:qFormat/>
    <w:rsid w:val="00CA78DA"/>
    <w:rPr>
      <w:b w:val="0"/>
      <w:sz w:val="72"/>
      <w:szCs w:val="72"/>
      <w:lang w:val="en-NZ"/>
    </w:rPr>
  </w:style>
  <w:style w:type="character" w:customStyle="1" w:styleId="QuoteChar">
    <w:name w:val="Quote Char"/>
    <w:basedOn w:val="DefaultParagraphFont"/>
    <w:link w:val="Quote"/>
    <w:rsid w:val="00CA78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78DA"/>
    <w:pPr>
      <w:pageBreakBefore/>
    </w:pPr>
  </w:style>
  <w:style w:type="paragraph" w:customStyle="1" w:styleId="Border">
    <w:name w:val="Border"/>
    <w:basedOn w:val="Normal"/>
    <w:qFormat/>
    <w:rsid w:val="00CA78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78DA"/>
    <w:rPr>
      <w:b/>
      <w:bCs/>
      <w:i/>
      <w:iCs/>
      <w:color w:val="auto"/>
    </w:rPr>
  </w:style>
  <w:style w:type="paragraph" w:styleId="IntenseQuote">
    <w:name w:val="Intense Quote"/>
    <w:basedOn w:val="Normal"/>
    <w:next w:val="Normal"/>
    <w:link w:val="IntenseQuoteChar"/>
    <w:uiPriority w:val="30"/>
    <w:qFormat/>
    <w:rsid w:val="00CA78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78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78DA"/>
    <w:rPr>
      <w:smallCaps/>
      <w:color w:val="auto"/>
      <w:u w:val="single"/>
    </w:rPr>
  </w:style>
  <w:style w:type="character" w:styleId="IntenseReference">
    <w:name w:val="Intense Reference"/>
    <w:basedOn w:val="DefaultParagraphFont"/>
    <w:uiPriority w:val="32"/>
    <w:qFormat/>
    <w:rsid w:val="00CA78DA"/>
    <w:rPr>
      <w:b/>
      <w:bCs/>
      <w:smallCaps/>
      <w:color w:val="auto"/>
      <w:spacing w:val="5"/>
      <w:u w:val="single"/>
    </w:rPr>
  </w:style>
  <w:style w:type="paragraph" w:customStyle="1" w:styleId="2ColumnHeading">
    <w:name w:val="2Column Heading"/>
    <w:basedOn w:val="BodyText"/>
    <w:qFormat/>
    <w:rsid w:val="00CA78DA"/>
    <w:pPr>
      <w:spacing w:after="60"/>
      <w:ind w:left="-2268"/>
    </w:pPr>
    <w:rPr>
      <w:b/>
    </w:rPr>
  </w:style>
  <w:style w:type="paragraph" w:customStyle="1" w:styleId="Heading1TOC">
    <w:name w:val="Heading1 TOC"/>
    <w:basedOn w:val="Normal"/>
    <w:qFormat/>
    <w:rsid w:val="00CA78DA"/>
    <w:pPr>
      <w:spacing w:before="240" w:after="120"/>
    </w:pPr>
    <w:rPr>
      <w:rFonts w:ascii="Times New Roman" w:hAnsi="Times New Roman"/>
      <w:b/>
      <w:sz w:val="32"/>
    </w:rPr>
  </w:style>
  <w:style w:type="paragraph" w:customStyle="1" w:styleId="Heading2TOC">
    <w:name w:val="Heading2 TOC"/>
    <w:basedOn w:val="Normal"/>
    <w:qFormat/>
    <w:rsid w:val="00CA78DA"/>
    <w:pPr>
      <w:spacing w:before="240" w:after="60"/>
    </w:pPr>
    <w:rPr>
      <w:rFonts w:ascii="Times New Roman" w:hAnsi="Times New Roman"/>
      <w:b/>
      <w:sz w:val="28"/>
    </w:rPr>
  </w:style>
  <w:style w:type="character" w:customStyle="1" w:styleId="Underline">
    <w:name w:val="Underline"/>
    <w:basedOn w:val="DefaultParagraphFont"/>
    <w:qFormat/>
    <w:rsid w:val="00CA78DA"/>
    <w:rPr>
      <w:u w:val="single"/>
    </w:rPr>
  </w:style>
  <w:style w:type="character" w:customStyle="1" w:styleId="BoldandItalics">
    <w:name w:val="Bold and Italics"/>
    <w:qFormat/>
    <w:rsid w:val="00CA78DA"/>
    <w:rPr>
      <w:b/>
      <w:i/>
      <w:u w:val="none"/>
    </w:rPr>
  </w:style>
  <w:style w:type="paragraph" w:styleId="BalloonText">
    <w:name w:val="Balloon Text"/>
    <w:basedOn w:val="Normal"/>
    <w:link w:val="BalloonTextChar"/>
    <w:rsid w:val="00CA78DA"/>
    <w:rPr>
      <w:rFonts w:ascii="Tahoma" w:hAnsi="Tahoma" w:cs="Tahoma"/>
      <w:sz w:val="16"/>
      <w:szCs w:val="16"/>
    </w:rPr>
  </w:style>
  <w:style w:type="character" w:customStyle="1" w:styleId="BalloonTextChar">
    <w:name w:val="Balloon Text Char"/>
    <w:basedOn w:val="DefaultParagraphFont"/>
    <w:link w:val="BalloonText"/>
    <w:rsid w:val="00CA78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78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78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78DA"/>
    <w:rPr>
      <w:b/>
      <w:color w:val="660033"/>
      <w:spacing w:val="0"/>
    </w:rPr>
  </w:style>
  <w:style w:type="paragraph" w:customStyle="1" w:styleId="Nameditemlist">
    <w:name w:val="Named item list"/>
    <w:basedOn w:val="BodyText"/>
    <w:qFormat/>
    <w:rsid w:val="00CA78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1377</Words>
  <Characters>8568</Characters>
  <Application>Microsoft Office Word</Application>
  <DocSecurity>0</DocSecurity>
  <Lines>236</Lines>
  <Paragraphs>134</Paragraphs>
  <ScaleCrop>false</ScaleCrop>
  <Company>Author-it Software Corporation Ltd.</Company>
  <LinksUpToDate>false</LinksUpToDate>
  <CharactersWithSpaces>9832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FDFPHGMP1A Follow work procedures to maintain Good Manufacturing Practice</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2012-10-05T17:24:00Z</dcterms:created>
  <dcterms:modified xsi:type="dcterms:W3CDTF">2012-10-05T17:24:00Z</dcterms:modified>
</cp:coreProperties>
</file>