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04645" w:rsidP="00204645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FDFOPTFST2A Maintain food safety when loading, unloading and transporting food</w:t>
      </w:r>
      <w:r>
        <w:fldChar w:fldCharType="end"/>
      </w:r>
    </w:p>
    <w:p w:rsidR="00204645" w:rsidP="00204645">
      <w:pPr>
        <w:pStyle w:val="Version"/>
        <w:sectPr w:rsidSect="00AF287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F2876" w:rsidP="00AF2876">
      <w:pPr>
        <w:pStyle w:val="SuperHeading"/>
      </w:pPr>
      <w:r w:rsidRPr="00AF2876">
        <w:t>FDFOPTFST2A Maintain food safety when loading, unloading and transporting food</w:t>
      </w:r>
    </w:p>
    <w:p w:rsidR="00000000" w:rsidRPr="00AF2876" w:rsidP="00AF2876">
      <w:pPr>
        <w:pStyle w:val="Heading1"/>
      </w:pPr>
      <w:bookmarkStart w:id="1" w:name="O_327848"/>
      <w:bookmarkEnd w:id="1"/>
      <w:r w:rsidRPr="00AF2876">
        <w:t>Modification History</w:t>
      </w:r>
    </w:p>
    <w:p w:rsidR="00000000" w:rsidRPr="00AF2876" w:rsidP="00AF2876">
      <w:pPr>
        <w:pStyle w:val="BodyText"/>
      </w:pPr>
      <w:r w:rsidRPr="00AF2876">
        <w:t>Not Applicable</w:t>
      </w:r>
    </w:p>
    <w:p w:rsidR="00000000" w:rsidRPr="00AF2876" w:rsidP="00AF2876">
      <w:pPr>
        <w:pStyle w:val="AllowPageBreak"/>
      </w:pPr>
    </w:p>
    <w:p w:rsidR="00000000" w:rsidRPr="00AF2876" w:rsidP="00AF2876">
      <w:pPr>
        <w:pStyle w:val="Heading1"/>
      </w:pPr>
      <w:bookmarkStart w:id="2" w:name="O_327849"/>
      <w:bookmarkEnd w:id="2"/>
      <w:r w:rsidRPr="00AF2876">
        <w:t>Unit Descriptor</w:t>
      </w:r>
    </w:p>
    <w:p w:rsidR="00000000" w:rsidRPr="00AF2876" w:rsidP="00AF2876">
      <w:pPr>
        <w:pStyle w:val="BodyText"/>
      </w:pPr>
      <w:r w:rsidRPr="00AF2876">
        <w:t>No</w:t>
      </w:r>
      <w:r w:rsidRPr="00AF2876">
        <w:t>t Applicable</w:t>
      </w:r>
    </w:p>
    <w:p w:rsidR="00000000" w:rsidRPr="00AF2876" w:rsidP="00AF2876">
      <w:pPr>
        <w:pStyle w:val="AllowPageBreak"/>
      </w:pPr>
    </w:p>
    <w:p w:rsidR="00000000" w:rsidRPr="00AF2876" w:rsidP="00AF2876">
      <w:pPr>
        <w:pStyle w:val="Heading1"/>
      </w:pPr>
      <w:bookmarkStart w:id="3" w:name="O_327850"/>
      <w:bookmarkEnd w:id="3"/>
      <w:r w:rsidRPr="00AF2876">
        <w:t>Application of the Unit</w:t>
      </w:r>
    </w:p>
    <w:p w:rsidR="00000000" w:rsidRPr="00AF2876" w:rsidP="00AF2876">
      <w:pPr>
        <w:pStyle w:val="BodyText"/>
      </w:pPr>
      <w:r w:rsidRPr="00AF2876">
        <w:t>Not Applicable</w:t>
      </w:r>
    </w:p>
    <w:p w:rsidR="00000000" w:rsidRPr="00AF2876" w:rsidP="00AF2876">
      <w:pPr>
        <w:pStyle w:val="AllowPageBreak"/>
      </w:pPr>
    </w:p>
    <w:p w:rsidR="00000000" w:rsidRPr="00AF2876" w:rsidP="00AF2876">
      <w:pPr>
        <w:pStyle w:val="Heading1"/>
      </w:pPr>
      <w:bookmarkStart w:id="4" w:name="O_327851"/>
      <w:bookmarkEnd w:id="4"/>
      <w:r w:rsidRPr="00AF2876">
        <w:t>Licensing/Regulatory Information</w:t>
      </w:r>
    </w:p>
    <w:p w:rsidR="00000000" w:rsidRPr="00AF2876" w:rsidP="00AF2876">
      <w:pPr>
        <w:pStyle w:val="BodyText"/>
      </w:pPr>
      <w:r w:rsidRPr="00AF2876">
        <w:t>Not Applicable</w:t>
      </w:r>
    </w:p>
    <w:p w:rsidR="00000000" w:rsidRPr="00AF2876" w:rsidP="00AF2876">
      <w:pPr>
        <w:pStyle w:val="AllowPageBreak"/>
      </w:pPr>
    </w:p>
    <w:p w:rsidR="00000000" w:rsidRPr="00AF2876" w:rsidP="00AF2876">
      <w:pPr>
        <w:pStyle w:val="Heading1"/>
      </w:pPr>
      <w:bookmarkStart w:id="5" w:name="O_327852"/>
      <w:bookmarkEnd w:id="5"/>
      <w:r w:rsidRPr="00AF2876">
        <w:t>Pre-Requisites</w:t>
      </w:r>
    </w:p>
    <w:p w:rsidR="00000000" w:rsidRPr="00AF2876" w:rsidP="00AF2876">
      <w:pPr>
        <w:pStyle w:val="BodyText"/>
      </w:pPr>
      <w:r w:rsidRPr="00AF2876">
        <w:t>Not Applicable</w:t>
      </w:r>
    </w:p>
    <w:p w:rsidR="00000000" w:rsidRPr="00AF2876" w:rsidP="00AF2876">
      <w:pPr>
        <w:pStyle w:val="AllowPageBreak"/>
      </w:pPr>
    </w:p>
    <w:p w:rsidR="00000000" w:rsidRPr="00AF2876" w:rsidP="00AF2876">
      <w:pPr>
        <w:pStyle w:val="Heading1"/>
      </w:pPr>
      <w:bookmarkStart w:id="6" w:name="O_327853"/>
      <w:bookmarkEnd w:id="6"/>
      <w:r w:rsidRPr="00AF2876">
        <w:t>Employability Skills Information</w:t>
      </w:r>
    </w:p>
    <w:p w:rsidR="00000000" w:rsidRPr="00AF2876" w:rsidP="00AF2876">
      <w:pPr>
        <w:pStyle w:val="BodyText"/>
      </w:pPr>
      <w:r w:rsidRPr="00AF2876">
        <w:t>Not Applicable</w:t>
      </w:r>
    </w:p>
    <w:p w:rsidR="00000000" w:rsidRPr="00AF2876" w:rsidP="00AF2876">
      <w:pPr>
        <w:pStyle w:val="AllowPageBreak"/>
      </w:pPr>
    </w:p>
    <w:p w:rsidR="00000000" w:rsidRPr="00AF2876" w:rsidP="00AF2876">
      <w:pPr>
        <w:pStyle w:val="Heading1"/>
      </w:pPr>
      <w:bookmarkStart w:id="7" w:name="O_327854"/>
      <w:bookmarkEnd w:id="7"/>
      <w:r w:rsidRPr="00AF2876">
        <w:t>Elements and Performance Criteria Pre-Content</w:t>
      </w:r>
    </w:p>
    <w:p w:rsidR="00000000" w:rsidRPr="00AF2876" w:rsidP="00AF2876">
      <w:pPr>
        <w:pStyle w:val="BodyText"/>
      </w:pPr>
      <w:r w:rsidRPr="00AF2876">
        <w:t>Not Applicable</w:t>
      </w:r>
    </w:p>
    <w:p w:rsidR="00000000" w:rsidRPr="00AF2876" w:rsidP="00AF2876">
      <w:pPr>
        <w:pStyle w:val="AllowPageBreak"/>
      </w:pPr>
    </w:p>
    <w:p w:rsidR="00000000" w:rsidRPr="00AF2876" w:rsidP="00AF2876">
      <w:pPr>
        <w:pStyle w:val="Heading1"/>
      </w:pPr>
      <w:bookmarkStart w:id="8" w:name="O_327855"/>
      <w:bookmarkEnd w:id="8"/>
      <w:r w:rsidRPr="00AF2876">
        <w:t>Elements and Performance Criteria</w:t>
      </w:r>
    </w:p>
    <w:p w:rsidR="00000000" w:rsidRPr="00AF2876" w:rsidP="00AF2876">
      <w:pPr>
        <w:pStyle w:val="BodyText"/>
      </w:pPr>
      <w:r w:rsidRPr="00AF2876">
        <w:t>Not Applicable</w:t>
      </w:r>
    </w:p>
    <w:p w:rsidR="00000000" w:rsidRPr="00AF2876" w:rsidP="00AF2876">
      <w:pPr>
        <w:pStyle w:val="AllowPageBreak"/>
      </w:pPr>
    </w:p>
    <w:p w:rsidR="00000000" w:rsidRPr="00AF2876" w:rsidP="00AF2876">
      <w:pPr>
        <w:pStyle w:val="Heading1"/>
      </w:pPr>
      <w:bookmarkStart w:id="9" w:name="O_327856"/>
      <w:bookmarkEnd w:id="9"/>
      <w:r w:rsidRPr="00AF2876">
        <w:t>Required Skills and Knowledge</w:t>
      </w:r>
    </w:p>
    <w:p w:rsidR="00000000" w:rsidRPr="00AF2876" w:rsidP="00AF2876">
      <w:pPr>
        <w:pStyle w:val="BodyText"/>
      </w:pPr>
      <w:r w:rsidRPr="00AF2876">
        <w:t>Not Applicable</w:t>
      </w:r>
    </w:p>
    <w:p w:rsidR="00000000" w:rsidRPr="00AF2876" w:rsidP="00AF2876">
      <w:pPr>
        <w:pStyle w:val="AllowPageBreak"/>
      </w:pPr>
    </w:p>
    <w:p w:rsidR="00000000" w:rsidRPr="00AF2876" w:rsidP="00AF2876">
      <w:pPr>
        <w:pStyle w:val="Heading1"/>
      </w:pPr>
      <w:bookmarkStart w:id="10" w:name="O_327857"/>
      <w:bookmarkEnd w:id="10"/>
      <w:r w:rsidRPr="00AF2876">
        <w:t>Evidence Guide</w:t>
      </w:r>
    </w:p>
    <w:p w:rsidR="00000000" w:rsidRPr="00AF2876" w:rsidP="00AF2876">
      <w:pPr>
        <w:pStyle w:val="BodyText"/>
      </w:pPr>
      <w:r w:rsidRPr="00AF2876">
        <w:t>Not Applicable</w:t>
      </w:r>
    </w:p>
    <w:p w:rsidR="00000000" w:rsidRPr="00AF2876" w:rsidP="00AF2876">
      <w:pPr>
        <w:pStyle w:val="AllowPageBreak"/>
      </w:pPr>
    </w:p>
    <w:p w:rsidR="00000000" w:rsidRPr="00AF2876" w:rsidP="00AF2876">
      <w:pPr>
        <w:pStyle w:val="Heading1"/>
      </w:pPr>
      <w:bookmarkStart w:id="11" w:name="O_327858"/>
      <w:bookmarkEnd w:id="11"/>
      <w:r w:rsidRPr="00AF2876">
        <w:t>Range Statement</w:t>
      </w:r>
    </w:p>
    <w:p w:rsidR="00000000" w:rsidRPr="00AF2876" w:rsidP="00AF2876">
      <w:pPr>
        <w:pStyle w:val="BodyText"/>
      </w:pPr>
      <w:r w:rsidRPr="00AF2876">
        <w:t>Not Applicable</w:t>
      </w:r>
    </w:p>
    <w:p w:rsidR="00000000" w:rsidRPr="00AF2876" w:rsidP="00AF2876">
      <w:pPr>
        <w:pStyle w:val="AllowPageBreak"/>
      </w:pPr>
    </w:p>
    <w:p w:rsidR="00000000" w:rsidRPr="00AF2876" w:rsidP="00AF2876">
      <w:pPr>
        <w:pStyle w:val="Heading1"/>
      </w:pPr>
      <w:bookmarkStart w:id="12" w:name="O_327859"/>
      <w:bookmarkEnd w:id="12"/>
      <w:r w:rsidRPr="00AF2876">
        <w:t>Unit Sector(s)</w:t>
      </w:r>
    </w:p>
    <w:p w:rsidR="00000000" w:rsidRPr="00AF2876" w:rsidP="00AF2876">
      <w:pPr>
        <w:pStyle w:val="BodyText"/>
      </w:pPr>
      <w:r w:rsidRPr="00AF2876">
        <w:t>Not Applicable</w:t>
      </w:r>
    </w:p>
    <w:p w:rsidR="00000000" w:rsidRPr="00AF2876" w:rsidP="00AF2876"/>
    <w:sectPr w:rsidSect="00AF287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287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204645" w:rsidP="00204645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287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4645" w:rsidP="00AF287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04645" w:rsidP="00AF287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AgriFood Skills Australia</w:t>
    </w:r>
    <w:r>
      <w:fldChar w:fldCharType="end"/>
    </w:r>
  </w:p>
  <w:p w:rsidR="00204645" w:rsidP="00AF2876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287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2876" w:rsidRPr="00204645" w:rsidP="00204645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287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4645" w:rsidRPr="002D2AF8" w:rsidP="00AF287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FDFOPTFST2A Maintain food safety when loading, unloading and transporting food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October 2012</w:t>
    </w:r>
    <w:r>
      <w:fldChar w:fldCharType="end"/>
    </w:r>
  </w:p>
  <w:p w:rsidR="00204645" w:rsidP="00AF287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287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F287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F287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F287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F287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F287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F287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F287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F287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F287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F287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F2876"/>
  </w:style>
  <w:style w:type="character" w:customStyle="1" w:styleId="Heading1Char">
    <w:name w:val="Heading 1 Char"/>
    <w:basedOn w:val="DefaultParagraphFont"/>
    <w:link w:val="Heading1"/>
    <w:rsid w:val="00AF287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F2876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F2876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AF287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F2876"/>
    <w:rPr>
      <w:rFonts w:ascii="Times New Roman" w:eastAsia="Times New Roman" w:hAnsi="Times New Roman" w:cs="Times New Roman"/>
      <w:sz w:val="16"/>
      <w:lang w:eastAsia="en-US"/>
    </w:rPr>
  </w:style>
  <w:style w:type="paragraph" w:customStyle="1" w:styleId="SuperHeading">
    <w:name w:val="SuperHeading"/>
    <w:basedOn w:val="Normal"/>
    <w:rsid w:val="00AF2876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AF287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F287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F287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F287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F287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F287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F287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F287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F287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F287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F287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F287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F287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F287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AF287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F287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F287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F287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F2876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F287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F2876"/>
    <w:rPr>
      <w:b/>
      <w:spacing w:val="0"/>
    </w:rPr>
  </w:style>
  <w:style w:type="paragraph" w:customStyle="1" w:styleId="SuperTitle">
    <w:name w:val="SuperTitle"/>
    <w:basedOn w:val="Title"/>
    <w:rsid w:val="00AF287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F287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F287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F287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F287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F287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F287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F287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F287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F287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F287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F287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F287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F2876"/>
    <w:rPr>
      <w:i/>
    </w:rPr>
  </w:style>
  <w:style w:type="paragraph" w:styleId="Caption">
    <w:name w:val="caption"/>
    <w:basedOn w:val="BodyText"/>
    <w:next w:val="Normal"/>
    <w:qFormat/>
    <w:rsid w:val="00AF287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F287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F287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F2876"/>
  </w:style>
  <w:style w:type="paragraph" w:styleId="TableofFigures">
    <w:name w:val="table of figures"/>
    <w:basedOn w:val="Normal"/>
    <w:next w:val="Normal"/>
    <w:semiHidden/>
    <w:rsid w:val="00AF287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F2876"/>
    <w:pPr>
      <w:numPr>
        <w:numId w:val="9"/>
      </w:numPr>
    </w:pPr>
  </w:style>
  <w:style w:type="character" w:customStyle="1" w:styleId="WingdingSymbols">
    <w:name w:val="Wingding Symbols"/>
    <w:rsid w:val="00AF2876"/>
    <w:rPr>
      <w:rFonts w:ascii="Wingdings" w:hAnsi="Wingdings"/>
    </w:rPr>
  </w:style>
  <w:style w:type="paragraph" w:customStyle="1" w:styleId="TableHeading">
    <w:name w:val="Table Heading"/>
    <w:basedOn w:val="HeadingBase"/>
    <w:rsid w:val="00AF287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F2876"/>
    <w:rPr>
      <w:color w:val="0033CC"/>
      <w:u w:val="none"/>
    </w:rPr>
  </w:style>
  <w:style w:type="paragraph" w:customStyle="1" w:styleId="BodyTextRight">
    <w:name w:val="Body Text Right"/>
    <w:basedOn w:val="BodyText"/>
    <w:rsid w:val="00AF287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F287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F2876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F287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F287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F287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F2876"/>
    <w:rPr>
      <w:sz w:val="32"/>
    </w:rPr>
  </w:style>
  <w:style w:type="paragraph" w:customStyle="1" w:styleId="HeadingProcedure">
    <w:name w:val="Heading Procedure"/>
    <w:basedOn w:val="HeadingBase"/>
    <w:next w:val="Normal"/>
    <w:rsid w:val="00AF287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F2876"/>
    <w:pPr>
      <w:spacing w:before="60" w:after="60"/>
    </w:pPr>
  </w:style>
  <w:style w:type="paragraph" w:styleId="ListContinue">
    <w:name w:val="List Continue"/>
    <w:basedOn w:val="List"/>
    <w:rsid w:val="00AF2876"/>
    <w:pPr>
      <w:ind w:firstLine="0"/>
    </w:pPr>
  </w:style>
  <w:style w:type="paragraph" w:customStyle="1" w:styleId="ListNote">
    <w:name w:val="List Note"/>
    <w:basedOn w:val="List"/>
    <w:rsid w:val="00AF287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F287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F287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F2876"/>
    <w:rPr>
      <w:rFonts w:ascii="Courier New" w:hAnsi="Courier New"/>
    </w:rPr>
  </w:style>
  <w:style w:type="paragraph" w:customStyle="1" w:styleId="NoteBullet">
    <w:name w:val="Note Bullet"/>
    <w:basedOn w:val="Note"/>
    <w:rsid w:val="00AF287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F287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F287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F287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F287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F287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F287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F2876"/>
    <w:rPr>
      <w:b/>
      <w:smallCaps/>
    </w:rPr>
  </w:style>
  <w:style w:type="paragraph" w:customStyle="1" w:styleId="TableListNumber">
    <w:name w:val="Table List Number"/>
    <w:basedOn w:val="ListNumber"/>
    <w:rsid w:val="00AF287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F287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F2876"/>
    <w:pPr>
      <w:numPr>
        <w:numId w:val="7"/>
      </w:numPr>
    </w:pPr>
  </w:style>
  <w:style w:type="paragraph" w:customStyle="1" w:styleId="ListAlpha2">
    <w:name w:val="List Alpha 2"/>
    <w:basedOn w:val="List2"/>
    <w:rsid w:val="00AF2876"/>
    <w:pPr>
      <w:numPr>
        <w:numId w:val="6"/>
      </w:numPr>
    </w:pPr>
  </w:style>
  <w:style w:type="paragraph" w:styleId="List2">
    <w:name w:val="List 2"/>
    <w:basedOn w:val="BodyText"/>
    <w:rsid w:val="00AF287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F287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F287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F287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F287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F2876"/>
    <w:pPr>
      <w:numPr>
        <w:numId w:val="1"/>
      </w:numPr>
    </w:pPr>
  </w:style>
  <w:style w:type="paragraph" w:styleId="ListBullet5">
    <w:name w:val="List Bullet 5"/>
    <w:basedOn w:val="List5"/>
    <w:rsid w:val="00AF2876"/>
    <w:pPr>
      <w:numPr>
        <w:numId w:val="2"/>
      </w:numPr>
    </w:pPr>
  </w:style>
  <w:style w:type="paragraph" w:styleId="ListContinue2">
    <w:name w:val="List Continue 2"/>
    <w:basedOn w:val="List2"/>
    <w:rsid w:val="00AF2876"/>
    <w:pPr>
      <w:ind w:firstLine="0"/>
    </w:pPr>
  </w:style>
  <w:style w:type="paragraph" w:styleId="ListContinue3">
    <w:name w:val="List Continue 3"/>
    <w:basedOn w:val="List3"/>
    <w:rsid w:val="00AF2876"/>
    <w:pPr>
      <w:ind w:left="1021" w:firstLine="0"/>
    </w:pPr>
  </w:style>
  <w:style w:type="paragraph" w:styleId="ListContinue4">
    <w:name w:val="List Continue 4"/>
    <w:basedOn w:val="List4"/>
    <w:rsid w:val="00AF2876"/>
    <w:pPr>
      <w:ind w:firstLine="0"/>
    </w:pPr>
  </w:style>
  <w:style w:type="paragraph" w:styleId="ListContinue5">
    <w:name w:val="List Continue 5"/>
    <w:basedOn w:val="List5"/>
    <w:rsid w:val="00AF2876"/>
    <w:pPr>
      <w:ind w:firstLine="0"/>
    </w:pPr>
  </w:style>
  <w:style w:type="paragraph" w:styleId="ListNumber3">
    <w:name w:val="List Number 3"/>
    <w:basedOn w:val="List3"/>
    <w:rsid w:val="00AF2876"/>
    <w:pPr>
      <w:numPr>
        <w:numId w:val="3"/>
      </w:numPr>
    </w:pPr>
  </w:style>
  <w:style w:type="paragraph" w:styleId="ListNumber4">
    <w:name w:val="List Number 4"/>
    <w:basedOn w:val="List4"/>
    <w:rsid w:val="00AF2876"/>
    <w:pPr>
      <w:numPr>
        <w:numId w:val="4"/>
      </w:numPr>
    </w:pPr>
  </w:style>
  <w:style w:type="paragraph" w:styleId="ListNumber5">
    <w:name w:val="List Number 5"/>
    <w:basedOn w:val="List5"/>
    <w:rsid w:val="00AF2876"/>
    <w:pPr>
      <w:numPr>
        <w:numId w:val="5"/>
      </w:numPr>
    </w:pPr>
  </w:style>
  <w:style w:type="paragraph" w:styleId="BlockText">
    <w:name w:val="Block Text"/>
    <w:basedOn w:val="Normal"/>
    <w:rsid w:val="00AF287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F287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F2876"/>
    <w:rPr>
      <w:sz w:val="16"/>
      <w:vertAlign w:val="superscript"/>
    </w:rPr>
  </w:style>
  <w:style w:type="character" w:customStyle="1" w:styleId="Symbols">
    <w:name w:val="Symbols"/>
    <w:basedOn w:val="DefaultParagraphFont"/>
    <w:rsid w:val="00AF2876"/>
    <w:rPr>
      <w:rFonts w:ascii="Symbol" w:hAnsi="Symbol"/>
    </w:rPr>
  </w:style>
  <w:style w:type="character" w:customStyle="1" w:styleId="MenuOptions">
    <w:name w:val="Menu Options"/>
    <w:basedOn w:val="DefaultParagraphFont"/>
    <w:rsid w:val="00AF287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F2876"/>
    <w:rPr>
      <w:b/>
    </w:rPr>
  </w:style>
  <w:style w:type="character" w:customStyle="1" w:styleId="Underlined">
    <w:name w:val="Underlined"/>
    <w:basedOn w:val="DefaultParagraphFont"/>
    <w:rsid w:val="00AF2876"/>
    <w:rPr>
      <w:u w:val="single"/>
    </w:rPr>
  </w:style>
  <w:style w:type="paragraph" w:customStyle="1" w:styleId="TableBodyTextRight">
    <w:name w:val="Table Body Text Right"/>
    <w:basedOn w:val="TableBodyText"/>
    <w:rsid w:val="00AF287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F2876"/>
    <w:rPr>
      <w:sz w:val="18"/>
    </w:rPr>
  </w:style>
  <w:style w:type="paragraph" w:customStyle="1" w:styleId="BodySmallRight">
    <w:name w:val="Body Small Right"/>
    <w:basedOn w:val="BodyTextRight"/>
    <w:rsid w:val="00AF2876"/>
    <w:rPr>
      <w:sz w:val="18"/>
      <w:szCs w:val="18"/>
    </w:rPr>
  </w:style>
  <w:style w:type="paragraph" w:customStyle="1" w:styleId="MarginEdition">
    <w:name w:val="Margin Edition"/>
    <w:basedOn w:val="MarginNote"/>
    <w:rsid w:val="00AF287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F2876"/>
    <w:rPr>
      <w:sz w:val="2"/>
      <w:szCs w:val="2"/>
    </w:rPr>
  </w:style>
  <w:style w:type="character" w:customStyle="1" w:styleId="Small">
    <w:name w:val="Small"/>
    <w:basedOn w:val="DefaultParagraphFont"/>
    <w:rsid w:val="00AF2876"/>
    <w:rPr>
      <w:sz w:val="16"/>
    </w:rPr>
  </w:style>
  <w:style w:type="paragraph" w:customStyle="1" w:styleId="WideTable">
    <w:name w:val="Wide Table"/>
    <w:basedOn w:val="Normal"/>
    <w:rsid w:val="00AF287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F2876"/>
  </w:style>
  <w:style w:type="paragraph" w:styleId="Quote">
    <w:name w:val="Quote"/>
    <w:basedOn w:val="Heading1"/>
    <w:link w:val="QuoteChar"/>
    <w:qFormat/>
    <w:rsid w:val="00AF287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F287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F2876"/>
    <w:pPr>
      <w:pageBreakBefore/>
    </w:pPr>
  </w:style>
  <w:style w:type="paragraph" w:customStyle="1" w:styleId="Border">
    <w:name w:val="Border"/>
    <w:basedOn w:val="Normal"/>
    <w:qFormat/>
    <w:rsid w:val="00AF287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F287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F287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F287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F287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F287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F287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F287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F287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F2876"/>
    <w:rPr>
      <w:u w:val="single"/>
    </w:rPr>
  </w:style>
  <w:style w:type="character" w:customStyle="1" w:styleId="BoldandItalics">
    <w:name w:val="Bold and Italics"/>
    <w:qFormat/>
    <w:rsid w:val="00AF2876"/>
    <w:rPr>
      <w:b/>
      <w:i/>
      <w:u w:val="none"/>
    </w:rPr>
  </w:style>
  <w:style w:type="paragraph" w:styleId="BalloonText">
    <w:name w:val="Balloon Text"/>
    <w:basedOn w:val="Normal"/>
    <w:link w:val="BalloonTextChar"/>
    <w:rsid w:val="00AF287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F287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F2876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F287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F287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F2876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79</Words>
  <Characters>568</Characters>
  <Application>Microsoft Office Word</Application>
  <DocSecurity>0</DocSecurity>
  <Lines>41</Lines>
  <Paragraphs>27</Paragraphs>
  <ScaleCrop>false</ScaleCrop>
  <Company>Author-it Software Corporation Ltd.</Company>
  <LinksUpToDate>false</LinksUpToDate>
  <CharactersWithSpaces>619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FDFOPTFST2A Maintain food safety when loading, unloading and transporting food</dc:title>
  <dc:subject>Approved</dc:subject>
  <dc:creator>AgriFood Skills Australia</dc:creator>
  <cp:keywords>Release: 1</cp:keywords>
  <dc:description>Copyright © 1996-2007 Author-it Software Corporation Ltd., all rights reserved.</dc:description>
  <cp:lastModifiedBy>TPCMS</cp:lastModifiedBy>
  <cp:revision>3</cp:revision>
  <dcterms:created xsi:type="dcterms:W3CDTF">2012-10-05T06:58:00Z</dcterms:created>
  <dcterms:modified xsi:type="dcterms:W3CDTF">2012-10-05T06:58:00Z</dcterms:modified>
</cp:coreProperties>
</file>