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615" w:rsidP="00990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FBPVIT2001 Bench graft vines</w:t>
      </w:r>
      <w:r>
        <w:fldChar w:fldCharType="end"/>
      </w:r>
    </w:p>
    <w:p w:rsidR="00990615" w:rsidP="00990615">
      <w:pPr>
        <w:pStyle w:val="Version"/>
        <w:sectPr w:rsidSect="002A55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52E" w:rsidP="002A552E">
      <w:pPr>
        <w:pStyle w:val="SuperHeading"/>
      </w:pPr>
      <w:r w:rsidRPr="002A552E">
        <w:t>Assessment Requirements for FBPVIT2001 Bench graft vines</w:t>
      </w:r>
    </w:p>
    <w:p w:rsidR="00000000" w:rsidRPr="002A552E" w:rsidP="002A552E">
      <w:pPr>
        <w:pStyle w:val="Heading1"/>
      </w:pPr>
      <w:bookmarkStart w:id="1" w:name="O_992284"/>
      <w:bookmarkEnd w:id="1"/>
      <w:r w:rsidRPr="002A55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5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2E" w:rsidP="002A552E">
            <w:pPr>
              <w:pStyle w:val="BodyText"/>
            </w:pPr>
            <w:r w:rsidRPr="002A552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2E">
            <w:pPr>
              <w:pStyle w:val="BodyText"/>
              <w:rPr>
                <w:lang w:val="en-NZ"/>
              </w:rPr>
            </w:pPr>
            <w:r w:rsidRPr="002A552E">
              <w:rPr>
                <w:rStyle w:val="SpecialBold"/>
              </w:rPr>
              <w:t>Comments</w:t>
            </w:r>
          </w:p>
        </w:tc>
      </w:tr>
      <w:tr w:rsidTr="002A55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52E">
            <w:pPr>
              <w:pStyle w:val="BodyText"/>
              <w:rPr>
                <w:lang w:val="en-NZ"/>
              </w:rPr>
            </w:pPr>
            <w:r w:rsidRPr="002A55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52E" w:rsidP="002A552E">
            <w:pPr>
              <w:pStyle w:val="BodyText"/>
            </w:pPr>
            <w:r w:rsidRPr="002A552E">
              <w:t>This version released with FBP Food, Beverage and Pharmaceutical Training Package Version 2.0.</w:t>
            </w:r>
          </w:p>
        </w:tc>
      </w:tr>
    </w:tbl>
    <w:p w:rsidR="00000000" w:rsidRPr="002A552E" w:rsidP="002A552E">
      <w:pPr>
        <w:pStyle w:val="BodyText"/>
      </w:pPr>
    </w:p>
    <w:p w:rsidR="00000000" w:rsidRPr="002A552E" w:rsidP="002A552E">
      <w:pPr>
        <w:pStyle w:val="AllowPageBreak"/>
      </w:pPr>
    </w:p>
    <w:p w:rsidR="00000000" w:rsidRPr="002A552E" w:rsidP="002A552E">
      <w:pPr>
        <w:pStyle w:val="Heading1"/>
      </w:pPr>
      <w:bookmarkStart w:id="2" w:name="O_992285"/>
      <w:bookmarkEnd w:id="2"/>
      <w:r w:rsidRPr="002A552E">
        <w:t>Performance Evidence</w:t>
      </w:r>
    </w:p>
    <w:p w:rsidR="00000000" w:rsidRPr="002A552E" w:rsidP="00990615">
      <w:pPr>
        <w:pStyle w:val="BodyText"/>
      </w:pPr>
      <w:r w:rsidRPr="002A552E">
        <w:t xml:space="preserve">An individual demonstrating competency must satisfy all </w:t>
      </w:r>
      <w:r w:rsidRPr="002A552E">
        <w:t>of the elements and performance criteria in this unit.</w:t>
      </w:r>
    </w:p>
    <w:p w:rsidR="00000000" w:rsidRPr="002A552E" w:rsidP="00990615">
      <w:pPr>
        <w:pStyle w:val="BodyText"/>
      </w:pPr>
      <w:r w:rsidRPr="002A552E">
        <w:t>There must be evidence that the individual has prepared to bench graft vines, bench grafted vines and completed the bench grafting activities at least once, including:</w:t>
      </w:r>
    </w:p>
    <w:p w:rsidR="00000000" w:rsidRPr="002A552E" w:rsidP="002A552E">
      <w:pPr>
        <w:pStyle w:val="ListBullet"/>
      </w:pPr>
      <w:r w:rsidRPr="002A552E">
        <w:t>identifying health and safety ha</w:t>
      </w:r>
      <w:r w:rsidRPr="002A552E">
        <w:t>zards and controls in the workplace</w:t>
      </w:r>
    </w:p>
    <w:p w:rsidR="00000000" w:rsidRPr="002A552E" w:rsidP="002A552E">
      <w:pPr>
        <w:pStyle w:val="ListBullet"/>
      </w:pPr>
      <w:r w:rsidRPr="002A552E">
        <w:t>selecting, fitting and using personal protective equipment according to job requirements</w:t>
      </w:r>
    </w:p>
    <w:p w:rsidR="00000000" w:rsidRPr="002A552E" w:rsidP="002A552E">
      <w:pPr>
        <w:pStyle w:val="ListBullet"/>
      </w:pPr>
      <w:r w:rsidRPr="002A552E">
        <w:t>selecting and preparing appropriate vine material for grafting, including disbudding</w:t>
      </w:r>
    </w:p>
    <w:p w:rsidR="00000000" w:rsidRPr="002A552E" w:rsidP="002A552E">
      <w:pPr>
        <w:pStyle w:val="ListBullet"/>
      </w:pPr>
      <w:r w:rsidRPr="002A552E">
        <w:t>performing bench grafting of vines according to workplace practices</w:t>
      </w:r>
    </w:p>
    <w:p w:rsidR="00000000" w:rsidRPr="002A552E" w:rsidP="002A552E">
      <w:pPr>
        <w:pStyle w:val="ListBullet"/>
      </w:pPr>
      <w:r w:rsidRPr="002A552E">
        <w:t>following workplace requirements for grafting and post-grafting treatment and packing of vines</w:t>
      </w:r>
    </w:p>
    <w:p w:rsidR="00000000" w:rsidRPr="002A552E" w:rsidP="002A552E">
      <w:pPr>
        <w:pStyle w:val="ListBullet"/>
      </w:pPr>
      <w:r w:rsidRPr="002A552E">
        <w:t>monitoring grafted vines by identifying, rectifying or reporting out-of-specification vine gr</w:t>
      </w:r>
      <w:r w:rsidRPr="002A552E">
        <w:t>afts</w:t>
      </w:r>
    </w:p>
    <w:p w:rsidR="00000000" w:rsidRPr="002A552E" w:rsidP="002A552E">
      <w:pPr>
        <w:pStyle w:val="ListBullet"/>
      </w:pPr>
      <w:r w:rsidRPr="002A552E">
        <w:t>identify and address non-conformance</w:t>
      </w:r>
    </w:p>
    <w:p w:rsidR="00000000" w:rsidRPr="002A552E" w:rsidP="002A552E">
      <w:pPr>
        <w:pStyle w:val="ListBullet"/>
      </w:pPr>
      <w:r w:rsidRPr="002A552E">
        <w:t>cleaning up and storing equipment according to workplace requirements</w:t>
      </w:r>
    </w:p>
    <w:p w:rsidR="00000000" w:rsidRPr="002A552E" w:rsidP="002A552E">
      <w:pPr>
        <w:pStyle w:val="ListBullet"/>
      </w:pPr>
      <w:r w:rsidRPr="002A552E">
        <w:t>disposing of waste according to environmental policies and workplace procedures</w:t>
      </w:r>
    </w:p>
    <w:p w:rsidR="00000000" w:rsidRPr="002A552E" w:rsidP="002A552E">
      <w:pPr>
        <w:pStyle w:val="ListBullet"/>
      </w:pPr>
      <w:r w:rsidRPr="002A552E">
        <w:t>maintaining records according to workplace procedures.</w:t>
      </w:r>
    </w:p>
    <w:p w:rsidR="00000000" w:rsidRPr="002A552E" w:rsidP="002A552E">
      <w:pPr>
        <w:pStyle w:val="AllowPageBreak"/>
      </w:pPr>
    </w:p>
    <w:p w:rsidR="00000000" w:rsidRPr="002A552E" w:rsidP="002A552E">
      <w:pPr>
        <w:pStyle w:val="Heading1"/>
      </w:pPr>
      <w:bookmarkStart w:id="3" w:name="O_992286"/>
      <w:bookmarkEnd w:id="3"/>
      <w:r w:rsidRPr="002A552E">
        <w:t>Knowledge Evidence</w:t>
      </w:r>
    </w:p>
    <w:p w:rsidR="00000000" w:rsidRPr="002A552E" w:rsidP="00990615">
      <w:pPr>
        <w:pStyle w:val="BodyText"/>
      </w:pPr>
      <w:r w:rsidRPr="002A552E">
        <w:t>An individual must be able to demonstrate the knowledge required to perform the tasks outlined in the elements and performance criteria of this unit. This includes knowledge of:</w:t>
      </w:r>
    </w:p>
    <w:p w:rsidR="00000000" w:rsidRPr="002A552E" w:rsidP="002A552E">
      <w:pPr>
        <w:pStyle w:val="ListBullet"/>
      </w:pPr>
      <w:r w:rsidRPr="002A552E">
        <w:t>health and safety hazards and controls in the work</w:t>
      </w:r>
      <w:r w:rsidRPr="002A552E">
        <w:t>place</w:t>
      </w:r>
    </w:p>
    <w:p w:rsidR="00000000" w:rsidRPr="002A552E" w:rsidP="002A552E">
      <w:pPr>
        <w:pStyle w:val="ListBullet"/>
      </w:pPr>
      <w:r w:rsidRPr="002A552E">
        <w:t>purpose and principles of grafting and disbudding</w:t>
      </w:r>
    </w:p>
    <w:p w:rsidR="00000000" w:rsidRPr="002A552E" w:rsidP="002A552E">
      <w:pPr>
        <w:pStyle w:val="ListBullet"/>
      </w:pPr>
      <w:r w:rsidRPr="002A552E">
        <w:t>criteria for successful grafting:</w:t>
      </w:r>
    </w:p>
    <w:p w:rsidR="00000000" w:rsidRPr="002A552E" w:rsidP="002A552E">
      <w:pPr>
        <w:pStyle w:val="ListBullet2"/>
      </w:pPr>
      <w:r w:rsidRPr="002A552E">
        <w:t>variety and clone</w:t>
      </w:r>
    </w:p>
    <w:p w:rsidR="00000000" w:rsidRPr="002A552E" w:rsidP="002A552E">
      <w:pPr>
        <w:pStyle w:val="ListBullet2"/>
      </w:pPr>
      <w:r w:rsidRPr="002A552E">
        <w:t>matching cambium</w:t>
      </w:r>
    </w:p>
    <w:p w:rsidR="00000000" w:rsidRPr="002A552E" w:rsidP="002A552E">
      <w:pPr>
        <w:pStyle w:val="ListBullet2"/>
      </w:pPr>
      <w:r w:rsidRPr="002A552E">
        <w:t>matching bevels and sizes</w:t>
      </w:r>
    </w:p>
    <w:p w:rsidR="00000000" w:rsidRPr="002A552E" w:rsidP="002A552E">
      <w:pPr>
        <w:pStyle w:val="ListBullet2"/>
      </w:pPr>
      <w:r w:rsidRPr="002A552E">
        <w:t>wood diameters</w:t>
      </w:r>
    </w:p>
    <w:p w:rsidR="00000000" w:rsidRPr="002A552E" w:rsidP="002A552E">
      <w:pPr>
        <w:pStyle w:val="ListBullet2"/>
      </w:pPr>
      <w:r w:rsidRPr="002A552E">
        <w:t>customer or workplace requirements</w:t>
      </w:r>
    </w:p>
    <w:p w:rsidR="00000000" w:rsidRPr="002A552E" w:rsidP="002A552E">
      <w:pPr>
        <w:pStyle w:val="ListBullet"/>
      </w:pPr>
      <w:r w:rsidRPr="002A552E">
        <w:t>importance of selection and use of rootstock and vinifera</w:t>
      </w:r>
    </w:p>
    <w:p w:rsidR="00000000" w:rsidRPr="002A552E" w:rsidP="002A552E">
      <w:pPr>
        <w:pStyle w:val="ListBullet"/>
      </w:pPr>
      <w:r w:rsidRPr="002A552E">
        <w:t>advantages of using clonal and registered vine improvement rootstock material</w:t>
      </w:r>
    </w:p>
    <w:p w:rsidR="00000000" w:rsidRPr="002A552E" w:rsidP="002A552E">
      <w:pPr>
        <w:pStyle w:val="ListBullet"/>
      </w:pPr>
      <w:r w:rsidRPr="002A552E">
        <w:t>criteria for selecting parent vines for scion material</w:t>
      </w:r>
    </w:p>
    <w:p w:rsidR="00000000" w:rsidRPr="002A552E" w:rsidP="002A552E">
      <w:pPr>
        <w:pStyle w:val="ListBullet"/>
      </w:pPr>
      <w:r w:rsidRPr="002A552E">
        <w:t>procedures and optimum conditions for the storage of grafting mat</w:t>
      </w:r>
      <w:r w:rsidRPr="002A552E">
        <w:t>erial</w:t>
      </w:r>
    </w:p>
    <w:p w:rsidR="00000000" w:rsidRPr="002A552E" w:rsidP="002A552E">
      <w:pPr>
        <w:pStyle w:val="ListBullet"/>
      </w:pPr>
      <w:r w:rsidRPr="002A552E">
        <w:t>preparing vine material for grafting, including:</w:t>
      </w:r>
    </w:p>
    <w:p w:rsidR="00000000" w:rsidRPr="002A552E" w:rsidP="002A552E">
      <w:pPr>
        <w:pStyle w:val="ListBullet2"/>
      </w:pPr>
      <w:r w:rsidRPr="002A552E">
        <w:t>removal from cold storage</w:t>
      </w:r>
    </w:p>
    <w:p w:rsidR="00000000" w:rsidRPr="002A552E" w:rsidP="002A552E">
      <w:pPr>
        <w:pStyle w:val="ListBullet2"/>
      </w:pPr>
      <w:r w:rsidRPr="002A552E">
        <w:t>soaking</w:t>
      </w:r>
    </w:p>
    <w:p w:rsidR="00000000" w:rsidRPr="002A552E" w:rsidP="002A552E">
      <w:pPr>
        <w:pStyle w:val="ListBullet2"/>
      </w:pPr>
      <w:r w:rsidRPr="002A552E">
        <w:t>heat treatment</w:t>
      </w:r>
    </w:p>
    <w:p w:rsidR="00000000" w:rsidRPr="002A552E" w:rsidP="002A552E">
      <w:pPr>
        <w:pStyle w:val="ListBullet2"/>
      </w:pPr>
      <w:r w:rsidRPr="002A552E">
        <w:t>disbudding</w:t>
      </w:r>
    </w:p>
    <w:p w:rsidR="00000000" w:rsidRPr="002A552E" w:rsidP="002A552E">
      <w:pPr>
        <w:pStyle w:val="ListBullet2"/>
      </w:pPr>
      <w:r w:rsidRPr="002A552E">
        <w:t>hydration</w:t>
      </w:r>
    </w:p>
    <w:p w:rsidR="00000000" w:rsidRPr="002A552E" w:rsidP="002A552E">
      <w:pPr>
        <w:pStyle w:val="ListBullet2"/>
      </w:pPr>
      <w:r w:rsidRPr="002A552E">
        <w:t>grading</w:t>
      </w:r>
    </w:p>
    <w:p w:rsidR="00000000" w:rsidRPr="002A552E" w:rsidP="002A552E">
      <w:pPr>
        <w:pStyle w:val="ListBullet"/>
      </w:pPr>
      <w:r w:rsidRPr="002A552E">
        <w:t>procedures for monitoring the grafting process and equipment operation to identify non-conformance</w:t>
      </w:r>
    </w:p>
    <w:p w:rsidR="00000000" w:rsidRPr="002A552E" w:rsidP="002A552E">
      <w:pPr>
        <w:pStyle w:val="ListBullet"/>
      </w:pPr>
      <w:r w:rsidRPr="002A552E">
        <w:t>purpose and components of grafting equipment and cleaning equipment</w:t>
      </w:r>
    </w:p>
    <w:p w:rsidR="00000000" w:rsidRPr="002A552E" w:rsidP="002A552E">
      <w:pPr>
        <w:pStyle w:val="ListBullet"/>
      </w:pPr>
      <w:r w:rsidRPr="002A552E">
        <w:t>packing, labelling and storing grafted vines relevant to:</w:t>
      </w:r>
    </w:p>
    <w:p w:rsidR="00000000" w:rsidRPr="002A552E" w:rsidP="002A552E">
      <w:pPr>
        <w:pStyle w:val="ListBullet2"/>
      </w:pPr>
      <w:r w:rsidRPr="002A552E">
        <w:t>cold room layout</w:t>
      </w:r>
    </w:p>
    <w:p w:rsidR="00000000" w:rsidRPr="002A552E" w:rsidP="002A552E">
      <w:pPr>
        <w:pStyle w:val="ListBullet2"/>
      </w:pPr>
      <w:r w:rsidRPr="002A552E">
        <w:t>cold room temperature variations</w:t>
      </w:r>
    </w:p>
    <w:p w:rsidR="00000000" w:rsidRPr="002A552E" w:rsidP="002A552E">
      <w:pPr>
        <w:pStyle w:val="ListBullet2"/>
      </w:pPr>
      <w:r w:rsidRPr="002A552E">
        <w:t>customer requirements</w:t>
      </w:r>
    </w:p>
    <w:p w:rsidR="00000000" w:rsidRPr="002A552E" w:rsidP="002A552E">
      <w:pPr>
        <w:pStyle w:val="ListBullet2"/>
      </w:pPr>
      <w:r w:rsidRPr="002A552E">
        <w:t>storage time requirements</w:t>
      </w:r>
    </w:p>
    <w:p w:rsidR="00000000" w:rsidRPr="002A552E" w:rsidP="002A552E">
      <w:pPr>
        <w:pStyle w:val="ListBullet2"/>
      </w:pPr>
      <w:r w:rsidRPr="002A552E">
        <w:t>care of vines to minimise damag</w:t>
      </w:r>
      <w:r w:rsidRPr="002A552E">
        <w:t>e by moisture and disease</w:t>
      </w:r>
    </w:p>
    <w:p w:rsidR="00000000" w:rsidRPr="002A552E" w:rsidP="002A552E">
      <w:pPr>
        <w:pStyle w:val="ListBullet"/>
      </w:pPr>
      <w:r w:rsidRPr="002A552E">
        <w:t>procedures and responsibility for reporting problems</w:t>
      </w:r>
    </w:p>
    <w:p w:rsidR="00000000" w:rsidRPr="002A552E" w:rsidP="002A552E">
      <w:pPr>
        <w:pStyle w:val="ListBullet"/>
      </w:pPr>
      <w:r w:rsidRPr="002A552E">
        <w:t>environmental issues and controls, including:</w:t>
      </w:r>
    </w:p>
    <w:p w:rsidR="00000000" w:rsidRPr="002A552E" w:rsidP="002A552E">
      <w:pPr>
        <w:pStyle w:val="ListBullet2"/>
      </w:pPr>
      <w:r w:rsidRPr="002A552E">
        <w:t>identifying, rectifying and reporting environmental non-conformance</w:t>
      </w:r>
    </w:p>
    <w:p w:rsidR="00000000" w:rsidRPr="002A552E" w:rsidP="002A552E">
      <w:pPr>
        <w:pStyle w:val="ListBullet2"/>
      </w:pPr>
      <w:r w:rsidRPr="002A552E">
        <w:t>sorting, collecting, treating, recycling or disposing of waste</w:t>
      </w:r>
    </w:p>
    <w:p w:rsidR="00000000" w:rsidRPr="002A552E" w:rsidP="002A552E">
      <w:pPr>
        <w:pStyle w:val="ListBullet"/>
      </w:pPr>
      <w:r w:rsidRPr="002A552E">
        <w:t>cleaning requirements and procedures for work area and equipment</w:t>
      </w:r>
    </w:p>
    <w:p w:rsidR="00000000" w:rsidRPr="002A552E" w:rsidP="002A552E">
      <w:pPr>
        <w:pStyle w:val="ListBullet"/>
      </w:pPr>
      <w:r w:rsidRPr="002A552E">
        <w:t>reporting and recording required information.</w:t>
      </w:r>
    </w:p>
    <w:p w:rsidR="00000000" w:rsidRPr="002A552E" w:rsidP="002A552E">
      <w:pPr>
        <w:pStyle w:val="AllowPageBreak"/>
      </w:pPr>
    </w:p>
    <w:p w:rsidR="00000000" w:rsidRPr="002A552E" w:rsidP="002A552E">
      <w:pPr>
        <w:pStyle w:val="Heading1"/>
      </w:pPr>
      <w:bookmarkStart w:id="4" w:name="O_992287"/>
      <w:bookmarkEnd w:id="4"/>
      <w:r w:rsidRPr="002A552E">
        <w:t>Assessment Conditions</w:t>
      </w:r>
    </w:p>
    <w:p w:rsidR="00000000" w:rsidRPr="002A552E" w:rsidP="00990615">
      <w:pPr>
        <w:pStyle w:val="BodyText"/>
      </w:pPr>
      <w:r w:rsidRPr="002A552E">
        <w:t>Assessment of skills must take place under</w:t>
      </w:r>
      <w:r w:rsidRPr="002A552E">
        <w:t xml:space="preserve"> the following conditions:</w:t>
      </w:r>
    </w:p>
    <w:p w:rsidR="00000000" w:rsidRPr="002A552E" w:rsidP="002A552E">
      <w:pPr>
        <w:pStyle w:val="ListBullet"/>
      </w:pPr>
      <w:r w:rsidRPr="002A552E">
        <w:t>physical conditions:</w:t>
      </w:r>
    </w:p>
    <w:p w:rsidR="00000000" w:rsidRPr="002A552E" w:rsidP="002A552E">
      <w:pPr>
        <w:pStyle w:val="ListBullet2"/>
      </w:pPr>
      <w:r w:rsidRPr="002A552E">
        <w:t>a plant nursery workplace or an environment that accurately represents workplace conditions</w:t>
      </w:r>
    </w:p>
    <w:p w:rsidR="00000000" w:rsidRPr="002A552E" w:rsidP="002A552E">
      <w:pPr>
        <w:pStyle w:val="ListBullet"/>
      </w:pPr>
      <w:r w:rsidRPr="002A552E">
        <w:t>resources, equipment and materials:</w:t>
      </w:r>
    </w:p>
    <w:p w:rsidR="00000000" w:rsidRPr="002A552E" w:rsidP="002A552E">
      <w:pPr>
        <w:pStyle w:val="ListBullet2"/>
      </w:pPr>
      <w:r w:rsidRPr="002A552E">
        <w:t>appropriate personal protective equipment</w:t>
      </w:r>
    </w:p>
    <w:p w:rsidR="00000000" w:rsidRPr="002A552E" w:rsidP="002A552E">
      <w:pPr>
        <w:pStyle w:val="ListBullet2"/>
      </w:pPr>
      <w:r w:rsidRPr="002A552E">
        <w:t>equipment, services and correspond</w:t>
      </w:r>
      <w:r w:rsidRPr="002A552E">
        <w:t>ing information</w:t>
      </w:r>
    </w:p>
    <w:p w:rsidR="00000000" w:rsidRPr="002A552E" w:rsidP="002A552E">
      <w:pPr>
        <w:pStyle w:val="ListBullet2"/>
      </w:pPr>
      <w:r w:rsidRPr="002A552E">
        <w:t>products and materials</w:t>
      </w:r>
    </w:p>
    <w:p w:rsidR="00000000" w:rsidRPr="002A552E" w:rsidP="002A552E">
      <w:pPr>
        <w:pStyle w:val="ListBullet2"/>
      </w:pPr>
      <w:r w:rsidRPr="002A552E">
        <w:t>cleaning procedures, materials and equipment</w:t>
      </w:r>
    </w:p>
    <w:p w:rsidR="00000000" w:rsidRPr="002A552E" w:rsidP="002A552E">
      <w:pPr>
        <w:pStyle w:val="ListBullet2"/>
      </w:pPr>
      <w:r w:rsidRPr="002A552E">
        <w:t>documentation and recording requirements and procedures</w:t>
      </w:r>
    </w:p>
    <w:p w:rsidR="00000000" w:rsidRPr="002A552E" w:rsidP="002A552E">
      <w:pPr>
        <w:pStyle w:val="ListBullet"/>
      </w:pPr>
      <w:r w:rsidRPr="002A552E">
        <w:t>specifications:</w:t>
      </w:r>
    </w:p>
    <w:p w:rsidR="00000000" w:rsidRPr="002A552E" w:rsidP="002A552E">
      <w:pPr>
        <w:pStyle w:val="ListBullet2"/>
      </w:pPr>
      <w:r w:rsidRPr="002A552E">
        <w:t>work procedures, including advice on company practices, safe work practices, quality and environmental requirements</w:t>
      </w:r>
    </w:p>
    <w:p w:rsidR="00000000" w:rsidRPr="002A552E" w:rsidP="002A552E">
      <w:pPr>
        <w:pStyle w:val="ListBullet2"/>
      </w:pPr>
      <w:r w:rsidRPr="002A552E">
        <w:t>workplace grafting specifications</w:t>
      </w:r>
    </w:p>
    <w:p w:rsidR="00000000" w:rsidRPr="002A552E" w:rsidP="002A552E">
      <w:pPr>
        <w:pStyle w:val="ListBullet2"/>
      </w:pPr>
      <w:r w:rsidRPr="002A552E">
        <w:t>work instructions and schedules</w:t>
      </w:r>
    </w:p>
    <w:p w:rsidR="00000000" w:rsidRPr="002A552E" w:rsidP="002A552E">
      <w:pPr>
        <w:pStyle w:val="ListBullet2"/>
      </w:pPr>
      <w:r w:rsidRPr="002A552E">
        <w:t>legislative and local quarantine regulations and codes of practice.</w:t>
      </w:r>
    </w:p>
    <w:p w:rsidR="00000000" w:rsidRPr="002A552E" w:rsidP="002A552E">
      <w:pPr>
        <w:pStyle w:val="BodyText"/>
      </w:pPr>
    </w:p>
    <w:p w:rsidR="00000000" w:rsidRPr="002A552E" w:rsidP="00990615">
      <w:pPr>
        <w:pStyle w:val="BodyText"/>
      </w:pPr>
      <w:r w:rsidRPr="002A552E">
        <w:t>Asses</w:t>
      </w:r>
      <w:r w:rsidRPr="002A552E">
        <w:t>sors of this unit must satisfy the requirements for assessors in applicable vocational education and training legislation, frameworks and/or standards.</w:t>
      </w:r>
    </w:p>
    <w:p w:rsidR="00000000" w:rsidRPr="002A552E" w:rsidP="002A552E">
      <w:pPr>
        <w:pStyle w:val="Heading1"/>
      </w:pPr>
      <w:bookmarkStart w:id="5" w:name="O_992290"/>
      <w:bookmarkEnd w:id="5"/>
      <w:r w:rsidRPr="002A552E">
        <w:t>Links</w:t>
      </w:r>
    </w:p>
    <w:p w:rsidR="00000000" w:rsidRPr="002A552E" w:rsidP="00990615">
      <w:pPr>
        <w:pStyle w:val="BodyText"/>
      </w:pPr>
      <w:r w:rsidRPr="002A552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52D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A552E" w:rsidP="002A552E"/>
    <w:sectPr w:rsidSect="002A55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2E" w:rsidRPr="00990615" w:rsidP="00990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15" w:rsidP="002A55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0615" w:rsidP="002A55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90615" w:rsidP="002A55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52E" w:rsidRPr="00990615" w:rsidP="00990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15" w:rsidRPr="002D2AF8" w:rsidP="002A55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FBPVIT2001 Bench graft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90615" w:rsidP="002A55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BE0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B8F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7CD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5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5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5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5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5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5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5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5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5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5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5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52E"/>
  </w:style>
  <w:style w:type="character" w:customStyle="1" w:styleId="Heading1Char">
    <w:name w:val="Heading 1 Char"/>
    <w:basedOn w:val="DefaultParagraphFont"/>
    <w:link w:val="Heading1"/>
    <w:rsid w:val="002A55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5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5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5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52E"/>
    <w:rPr>
      <w:b/>
      <w:spacing w:val="0"/>
    </w:rPr>
  </w:style>
  <w:style w:type="paragraph" w:styleId="ListBullet2">
    <w:name w:val="List Bullet 2"/>
    <w:basedOn w:val="List2"/>
    <w:rsid w:val="002A55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5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5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5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5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5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5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5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5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5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5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5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5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5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5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5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5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5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5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5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5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5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5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5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5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5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5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5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5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5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5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5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5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52E"/>
    <w:rPr>
      <w:i/>
    </w:rPr>
  </w:style>
  <w:style w:type="paragraph" w:styleId="Caption">
    <w:name w:val="caption"/>
    <w:basedOn w:val="BodyText"/>
    <w:next w:val="Normal"/>
    <w:qFormat/>
    <w:rsid w:val="002A55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5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5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52E"/>
  </w:style>
  <w:style w:type="paragraph" w:styleId="TableofFigures">
    <w:name w:val="table of figures"/>
    <w:basedOn w:val="Normal"/>
    <w:next w:val="Normal"/>
    <w:semiHidden/>
    <w:rsid w:val="002A55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5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552E"/>
    <w:rPr>
      <w:rFonts w:ascii="Wingdings" w:hAnsi="Wingdings"/>
    </w:rPr>
  </w:style>
  <w:style w:type="paragraph" w:customStyle="1" w:styleId="TableHeading">
    <w:name w:val="Table Heading"/>
    <w:basedOn w:val="HeadingBase"/>
    <w:rsid w:val="002A55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52E"/>
    <w:rPr>
      <w:color w:val="0033CC"/>
      <w:u w:val="none"/>
    </w:rPr>
  </w:style>
  <w:style w:type="paragraph" w:customStyle="1" w:styleId="BodyTextRight">
    <w:name w:val="Body Text Right"/>
    <w:basedOn w:val="BodyText"/>
    <w:rsid w:val="002A55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5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5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5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5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5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52E"/>
    <w:rPr>
      <w:sz w:val="32"/>
    </w:rPr>
  </w:style>
  <w:style w:type="paragraph" w:customStyle="1" w:styleId="HeadingProcedure">
    <w:name w:val="Heading Procedure"/>
    <w:basedOn w:val="HeadingBase"/>
    <w:next w:val="Normal"/>
    <w:rsid w:val="002A55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52E"/>
    <w:pPr>
      <w:spacing w:before="60" w:after="60"/>
    </w:pPr>
  </w:style>
  <w:style w:type="paragraph" w:styleId="ListContinue">
    <w:name w:val="List Continue"/>
    <w:basedOn w:val="List"/>
    <w:rsid w:val="002A552E"/>
    <w:pPr>
      <w:ind w:firstLine="0"/>
    </w:pPr>
  </w:style>
  <w:style w:type="paragraph" w:customStyle="1" w:styleId="ListNote">
    <w:name w:val="List Note"/>
    <w:basedOn w:val="List"/>
    <w:rsid w:val="002A55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5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5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52E"/>
    <w:rPr>
      <w:rFonts w:ascii="Courier New" w:hAnsi="Courier New"/>
    </w:rPr>
  </w:style>
  <w:style w:type="paragraph" w:customStyle="1" w:styleId="NoteBullet">
    <w:name w:val="Note Bullet"/>
    <w:basedOn w:val="Note"/>
    <w:rsid w:val="002A55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5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5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5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5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5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5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52E"/>
    <w:rPr>
      <w:b/>
      <w:smallCaps/>
    </w:rPr>
  </w:style>
  <w:style w:type="paragraph" w:customStyle="1" w:styleId="TableListNumber">
    <w:name w:val="Table List Number"/>
    <w:basedOn w:val="ListNumber"/>
    <w:rsid w:val="002A55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5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52E"/>
    <w:pPr>
      <w:numPr>
        <w:numId w:val="9"/>
      </w:numPr>
    </w:pPr>
  </w:style>
  <w:style w:type="paragraph" w:customStyle="1" w:styleId="ListAlpha2">
    <w:name w:val="List Alpha 2"/>
    <w:basedOn w:val="List2"/>
    <w:rsid w:val="002A552E"/>
    <w:pPr>
      <w:numPr>
        <w:numId w:val="8"/>
      </w:numPr>
    </w:pPr>
  </w:style>
  <w:style w:type="paragraph" w:styleId="List2">
    <w:name w:val="List 2"/>
    <w:basedOn w:val="BodyText"/>
    <w:rsid w:val="002A55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5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5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5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5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5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52E"/>
    <w:pPr>
      <w:numPr>
        <w:numId w:val="4"/>
      </w:numPr>
    </w:pPr>
  </w:style>
  <w:style w:type="paragraph" w:styleId="ListContinue2">
    <w:name w:val="List Continue 2"/>
    <w:basedOn w:val="List2"/>
    <w:rsid w:val="002A552E"/>
    <w:pPr>
      <w:ind w:firstLine="0"/>
    </w:pPr>
  </w:style>
  <w:style w:type="paragraph" w:styleId="ListContinue3">
    <w:name w:val="List Continue 3"/>
    <w:basedOn w:val="List3"/>
    <w:rsid w:val="002A552E"/>
    <w:pPr>
      <w:ind w:left="1021" w:firstLine="0"/>
    </w:pPr>
  </w:style>
  <w:style w:type="paragraph" w:styleId="ListContinue4">
    <w:name w:val="List Continue 4"/>
    <w:basedOn w:val="List4"/>
    <w:rsid w:val="002A552E"/>
    <w:pPr>
      <w:ind w:firstLine="0"/>
    </w:pPr>
  </w:style>
  <w:style w:type="paragraph" w:styleId="ListContinue5">
    <w:name w:val="List Continue 5"/>
    <w:basedOn w:val="List5"/>
    <w:rsid w:val="002A552E"/>
    <w:pPr>
      <w:ind w:firstLine="0"/>
    </w:pPr>
  </w:style>
  <w:style w:type="paragraph" w:styleId="ListNumber3">
    <w:name w:val="List Number 3"/>
    <w:basedOn w:val="List3"/>
    <w:rsid w:val="002A552E"/>
    <w:pPr>
      <w:numPr>
        <w:numId w:val="5"/>
      </w:numPr>
    </w:pPr>
  </w:style>
  <w:style w:type="paragraph" w:styleId="ListNumber4">
    <w:name w:val="List Number 4"/>
    <w:basedOn w:val="List4"/>
    <w:rsid w:val="002A552E"/>
    <w:pPr>
      <w:numPr>
        <w:numId w:val="6"/>
      </w:numPr>
    </w:pPr>
  </w:style>
  <w:style w:type="paragraph" w:styleId="ListNumber5">
    <w:name w:val="List Number 5"/>
    <w:basedOn w:val="List5"/>
    <w:rsid w:val="002A552E"/>
    <w:pPr>
      <w:numPr>
        <w:numId w:val="7"/>
      </w:numPr>
    </w:pPr>
  </w:style>
  <w:style w:type="paragraph" w:styleId="BlockText">
    <w:name w:val="Block Text"/>
    <w:basedOn w:val="Normal"/>
    <w:rsid w:val="002A55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5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52E"/>
    <w:rPr>
      <w:sz w:val="16"/>
      <w:vertAlign w:val="superscript"/>
    </w:rPr>
  </w:style>
  <w:style w:type="character" w:customStyle="1" w:styleId="Symbols">
    <w:name w:val="Symbols"/>
    <w:basedOn w:val="DefaultParagraphFont"/>
    <w:rsid w:val="002A552E"/>
    <w:rPr>
      <w:rFonts w:ascii="Symbol" w:hAnsi="Symbol"/>
    </w:rPr>
  </w:style>
  <w:style w:type="character" w:customStyle="1" w:styleId="MenuOptions">
    <w:name w:val="Menu Options"/>
    <w:basedOn w:val="DefaultParagraphFont"/>
    <w:rsid w:val="002A55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52E"/>
    <w:rPr>
      <w:b/>
    </w:rPr>
  </w:style>
  <w:style w:type="character" w:customStyle="1" w:styleId="Underlined">
    <w:name w:val="Underlined"/>
    <w:basedOn w:val="DefaultParagraphFont"/>
    <w:rsid w:val="002A552E"/>
    <w:rPr>
      <w:u w:val="single"/>
    </w:rPr>
  </w:style>
  <w:style w:type="paragraph" w:customStyle="1" w:styleId="TableBodyTextRight">
    <w:name w:val="Table Body Text Right"/>
    <w:basedOn w:val="TableBodyText"/>
    <w:rsid w:val="002A55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52E"/>
    <w:rPr>
      <w:sz w:val="18"/>
    </w:rPr>
  </w:style>
  <w:style w:type="paragraph" w:customStyle="1" w:styleId="BodySmallRight">
    <w:name w:val="Body Small Right"/>
    <w:basedOn w:val="BodyTextRight"/>
    <w:rsid w:val="002A552E"/>
    <w:rPr>
      <w:sz w:val="18"/>
      <w:szCs w:val="18"/>
    </w:rPr>
  </w:style>
  <w:style w:type="paragraph" w:customStyle="1" w:styleId="MarginEdition">
    <w:name w:val="Margin Edition"/>
    <w:basedOn w:val="MarginNote"/>
    <w:rsid w:val="002A55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52E"/>
    <w:rPr>
      <w:sz w:val="2"/>
      <w:szCs w:val="2"/>
    </w:rPr>
  </w:style>
  <w:style w:type="character" w:customStyle="1" w:styleId="Small">
    <w:name w:val="Small"/>
    <w:basedOn w:val="DefaultParagraphFont"/>
    <w:rsid w:val="002A552E"/>
    <w:rPr>
      <w:sz w:val="16"/>
    </w:rPr>
  </w:style>
  <w:style w:type="paragraph" w:customStyle="1" w:styleId="WideTable">
    <w:name w:val="Wide Table"/>
    <w:basedOn w:val="Normal"/>
    <w:rsid w:val="002A55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52E"/>
  </w:style>
  <w:style w:type="paragraph" w:styleId="Quote">
    <w:name w:val="Quote"/>
    <w:basedOn w:val="Heading1"/>
    <w:link w:val="QuoteChar"/>
    <w:qFormat/>
    <w:rsid w:val="002A55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5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52E"/>
    <w:pPr>
      <w:pageBreakBefore/>
    </w:pPr>
  </w:style>
  <w:style w:type="paragraph" w:customStyle="1" w:styleId="Border">
    <w:name w:val="Border"/>
    <w:basedOn w:val="Normal"/>
    <w:qFormat/>
    <w:rsid w:val="002A55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5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5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5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5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5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5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5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5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52E"/>
    <w:rPr>
      <w:u w:val="single"/>
    </w:rPr>
  </w:style>
  <w:style w:type="character" w:customStyle="1" w:styleId="BoldandItalics">
    <w:name w:val="Bold and Italics"/>
    <w:qFormat/>
    <w:rsid w:val="002A552E"/>
    <w:rPr>
      <w:b/>
      <w:i/>
      <w:u w:val="none"/>
    </w:rPr>
  </w:style>
  <w:style w:type="paragraph" w:styleId="BalloonText">
    <w:name w:val="Balloon Text"/>
    <w:basedOn w:val="Normal"/>
    <w:link w:val="BalloonTextChar"/>
    <w:rsid w:val="002A55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5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5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5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5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5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52E"/>
    <w:pPr>
      <w:spacing w:before="0" w:after="0"/>
    </w:pPr>
  </w:style>
  <w:style w:type="paragraph" w:customStyle="1" w:styleId="BodyTextBold">
    <w:name w:val="Body Text Bold"/>
    <w:basedOn w:val="BodyText"/>
    <w:qFormat/>
    <w:rsid w:val="002A552E"/>
    <w:rPr>
      <w:b/>
    </w:rPr>
  </w:style>
  <w:style w:type="character" w:styleId="Hyperlink">
    <w:name w:val="Hyperlink"/>
    <w:basedOn w:val="DefaultParagraphFont"/>
    <w:uiPriority w:val="99"/>
    <w:unhideWhenUsed/>
    <w:rsid w:val="00990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3572</Characters>
  <Application>Microsoft Office Word</Application>
  <DocSecurity>0</DocSecurity>
  <Lines>96</Lines>
  <Paragraphs>86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FBPVIT2001 Bench graft vines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