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235" w:rsidP="00577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FBPTEC4023 Control and monitor fermentation</w:t>
      </w:r>
      <w:r>
        <w:fldChar w:fldCharType="end"/>
      </w:r>
    </w:p>
    <w:p w:rsidR="00577235" w:rsidP="00577235">
      <w:pPr>
        <w:pStyle w:val="Version"/>
        <w:sectPr w:rsidSect="00C16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12A" w:rsidP="00C1612A">
      <w:pPr>
        <w:pStyle w:val="SuperHeading"/>
      </w:pPr>
      <w:r w:rsidRPr="00C1612A">
        <w:t>Assessment Requirements for FBPTEC4023 Control and monitor fermentation</w:t>
      </w:r>
    </w:p>
    <w:p w:rsidR="00000000" w:rsidRPr="00C1612A" w:rsidP="00C1612A">
      <w:pPr>
        <w:pStyle w:val="Heading1"/>
      </w:pPr>
      <w:bookmarkStart w:id="1" w:name="O_1059817"/>
      <w:bookmarkEnd w:id="1"/>
      <w:r w:rsidRPr="00C161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2A">
            <w:pPr>
              <w:pStyle w:val="BodyTextBold"/>
              <w:rPr>
                <w:lang w:val="en-NZ"/>
              </w:rPr>
            </w:pPr>
            <w:r w:rsidRPr="00C161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2A">
            <w:pPr>
              <w:pStyle w:val="BodyTextBold"/>
              <w:rPr>
                <w:lang w:val="en-NZ"/>
              </w:rPr>
            </w:pPr>
            <w:r w:rsidRPr="00C1612A">
              <w:t>Comments</w:t>
            </w:r>
          </w:p>
        </w:tc>
      </w:tr>
      <w:tr w:rsidTr="00C16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12A">
            <w:pPr>
              <w:pStyle w:val="BodyText"/>
              <w:rPr>
                <w:lang w:val="en-NZ"/>
              </w:rPr>
            </w:pPr>
            <w:r w:rsidRPr="00C161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12A" w:rsidP="00C1612A">
            <w:pPr>
              <w:pStyle w:val="BodyText"/>
            </w:pPr>
            <w:r w:rsidRPr="00C1612A">
              <w:t>This version released with FBP Food, Beverage and Pharmaceutical Training Package version 3.0.</w:t>
            </w:r>
          </w:p>
        </w:tc>
      </w:tr>
    </w:tbl>
    <w:p w:rsidR="00000000" w:rsidRPr="00C1612A" w:rsidP="00C1612A">
      <w:pPr>
        <w:pStyle w:val="BodyText"/>
      </w:pPr>
    </w:p>
    <w:p w:rsidR="00000000" w:rsidRPr="00C1612A" w:rsidP="00C1612A">
      <w:pPr>
        <w:pStyle w:val="AllowPageBreak"/>
      </w:pPr>
    </w:p>
    <w:p w:rsidR="00000000" w:rsidRPr="00C1612A" w:rsidP="00C1612A">
      <w:pPr>
        <w:pStyle w:val="Heading1"/>
      </w:pPr>
      <w:bookmarkStart w:id="2" w:name="O_1059818"/>
      <w:bookmarkEnd w:id="2"/>
      <w:r w:rsidRPr="00C1612A">
        <w:t>Performance Evidence</w:t>
      </w:r>
    </w:p>
    <w:p w:rsidR="00000000" w:rsidRPr="00C1612A" w:rsidP="00577235">
      <w:pPr>
        <w:pStyle w:val="BodyText"/>
      </w:pPr>
      <w:r w:rsidRPr="00C1612A">
        <w:t xml:space="preserve">An individual demonstrating competency must satisfy all of the elements and performance criteria in this unit. </w:t>
      </w:r>
    </w:p>
    <w:p w:rsidR="00000000" w:rsidRPr="00C1612A" w:rsidP="00577235">
      <w:pPr>
        <w:pStyle w:val="BodyText"/>
      </w:pPr>
      <w:r w:rsidRPr="00C1612A">
        <w:t>There must be evidence that the individual has controlled and monitored the fermentation of six different products, utilisi</w:t>
      </w:r>
      <w:r w:rsidRPr="00C1612A">
        <w:t>ng three different fermentation categories from the following list:</w:t>
      </w:r>
    </w:p>
    <w:p w:rsidR="00000000" w:rsidRPr="00C1612A" w:rsidP="00C1612A">
      <w:pPr>
        <w:pStyle w:val="ListBullet"/>
      </w:pPr>
      <w:r w:rsidRPr="00C1612A">
        <w:t>yeast</w:t>
      </w:r>
    </w:p>
    <w:p w:rsidR="00000000" w:rsidRPr="00C1612A" w:rsidP="00C1612A">
      <w:pPr>
        <w:pStyle w:val="ListBullet"/>
      </w:pPr>
      <w:r w:rsidRPr="00C1612A">
        <w:t>bacteria</w:t>
      </w:r>
    </w:p>
    <w:p w:rsidR="00000000" w:rsidRPr="00C1612A" w:rsidP="00C1612A">
      <w:pPr>
        <w:pStyle w:val="ListBullet"/>
      </w:pPr>
      <w:r w:rsidRPr="00C1612A">
        <w:t>fungi</w:t>
      </w:r>
    </w:p>
    <w:p w:rsidR="00000000" w:rsidRPr="00C1612A" w:rsidP="00C1612A">
      <w:pPr>
        <w:pStyle w:val="ListBullet"/>
      </w:pPr>
      <w:r w:rsidRPr="00C1612A">
        <w:t xml:space="preserve">yeast and bacteria symbiotic culture of bacteria and yeast (SCOBY) </w:t>
      </w:r>
    </w:p>
    <w:p w:rsidR="00000000" w:rsidRPr="00C1612A" w:rsidP="00C1612A">
      <w:pPr>
        <w:pStyle w:val="ListBullet"/>
      </w:pPr>
      <w:r w:rsidRPr="00C1612A">
        <w:t>combinations of fermentation organisms above relevant to product.</w:t>
      </w:r>
    </w:p>
    <w:p w:rsidR="00000000" w:rsidRPr="00C1612A" w:rsidP="00577235">
      <w:pPr>
        <w:pStyle w:val="BodyText"/>
      </w:pPr>
      <w:r w:rsidRPr="00C1612A">
        <w:t>For each category utilised, there should be two products that show consistent colour, smell, texture, taste and appearance.</w:t>
      </w:r>
    </w:p>
    <w:p w:rsidR="00000000" w:rsidRPr="00C1612A" w:rsidP="00577235">
      <w:pPr>
        <w:pStyle w:val="BodyText"/>
      </w:pPr>
      <w:r w:rsidRPr="00C1612A">
        <w:t>There must also be evidence that the individual can identify contamination or spoilage in each of the three categories chosen.</w:t>
      </w:r>
    </w:p>
    <w:p w:rsidR="00000000" w:rsidRPr="00C1612A" w:rsidP="00C1612A">
      <w:pPr>
        <w:pStyle w:val="Heading1"/>
      </w:pPr>
      <w:bookmarkStart w:id="3" w:name="O_1059819"/>
      <w:bookmarkEnd w:id="3"/>
      <w:r w:rsidRPr="00C1612A">
        <w:t>Knowledge Evidence</w:t>
      </w:r>
    </w:p>
    <w:p w:rsidR="00000000" w:rsidRPr="00C1612A" w:rsidP="00577235">
      <w:pPr>
        <w:pStyle w:val="BodyText"/>
      </w:pPr>
      <w:r w:rsidRPr="00C1612A">
        <w:t>An individual must be able to demonstrate the knowledge required to perform the tasks outlined in the elements and performance criteria of this unit. This includes knowledge of:</w:t>
      </w:r>
    </w:p>
    <w:p w:rsidR="00000000" w:rsidRPr="00C1612A" w:rsidP="00C1612A">
      <w:pPr>
        <w:pStyle w:val="ListBullet"/>
      </w:pPr>
      <w:r w:rsidRPr="00C1612A">
        <w:t>different starter organisms for fermentation</w:t>
      </w:r>
    </w:p>
    <w:p w:rsidR="00000000" w:rsidRPr="00C1612A" w:rsidP="00C1612A">
      <w:pPr>
        <w:pStyle w:val="ListBullet"/>
      </w:pPr>
      <w:r w:rsidRPr="00C1612A">
        <w:t>licensing requirements for the production and sale of fermented food and beverage products</w:t>
      </w:r>
    </w:p>
    <w:p w:rsidR="00000000" w:rsidRPr="00C1612A" w:rsidP="00C1612A">
      <w:pPr>
        <w:pStyle w:val="ListBullet"/>
      </w:pPr>
      <w:r w:rsidRPr="00C1612A">
        <w:t>specific starters used for different products, including yeast, bacteria, fungi, and yeast and bacterial SCOBY, or combinations of these relevant to product</w:t>
      </w:r>
    </w:p>
    <w:p w:rsidR="00000000" w:rsidRPr="00C1612A" w:rsidP="00C1612A">
      <w:pPr>
        <w:pStyle w:val="ListBullet"/>
      </w:pPr>
      <w:r w:rsidRPr="00C1612A">
        <w:t>ideal t</w:t>
      </w:r>
      <w:r w:rsidRPr="00C1612A">
        <w:t>emperature to promote successful fermentation, relevant to product</w:t>
      </w:r>
    </w:p>
    <w:p w:rsidR="00000000" w:rsidRPr="00C1612A" w:rsidP="00C1612A">
      <w:pPr>
        <w:pStyle w:val="ListBullet"/>
      </w:pPr>
      <w:r w:rsidRPr="00C1612A">
        <w:t>specific starters used for different products, including SCOBY for kombucha</w:t>
      </w:r>
    </w:p>
    <w:p w:rsidR="00000000" w:rsidRPr="00C1612A" w:rsidP="00C1612A">
      <w:pPr>
        <w:pStyle w:val="ListBullet"/>
      </w:pPr>
      <w:r w:rsidRPr="00C1612A">
        <w:t>natural starters versus commercial starters, and which are allowed under the Food Standards Code</w:t>
      </w:r>
    </w:p>
    <w:p w:rsidR="00000000" w:rsidRPr="00C1612A" w:rsidP="00C1612A">
      <w:pPr>
        <w:pStyle w:val="ListBullet"/>
      </w:pPr>
      <w:r w:rsidRPr="00C1612A">
        <w:t>typical adjuncts</w:t>
      </w:r>
      <w:r w:rsidRPr="00C1612A">
        <w:t xml:space="preserve"> added to the fermentation process</w:t>
      </w:r>
    </w:p>
    <w:p w:rsidR="00000000" w:rsidRPr="00C1612A" w:rsidP="00C1612A">
      <w:pPr>
        <w:pStyle w:val="ListBullet"/>
      </w:pPr>
      <w:r w:rsidRPr="00C1612A">
        <w:t>essential ingredients for fermentation, including salt and sugar</w:t>
      </w:r>
    </w:p>
    <w:p w:rsidR="00000000" w:rsidRPr="00C1612A" w:rsidP="00C1612A">
      <w:pPr>
        <w:pStyle w:val="ListBullet"/>
      </w:pPr>
      <w:r w:rsidRPr="00C1612A">
        <w:t>typical microbiological, chemical and physical tests carried out in production and on end products</w:t>
      </w:r>
    </w:p>
    <w:p w:rsidR="00000000" w:rsidRPr="00C1612A" w:rsidP="00C1612A">
      <w:pPr>
        <w:pStyle w:val="ListBullet"/>
      </w:pPr>
      <w:r w:rsidRPr="00C1612A">
        <w:t>acceptable parameters for typical test results</w:t>
      </w:r>
    </w:p>
    <w:p w:rsidR="00000000" w:rsidRPr="00C1612A" w:rsidP="00C1612A">
      <w:pPr>
        <w:pStyle w:val="ListBullet"/>
      </w:pPr>
      <w:r w:rsidRPr="00C1612A">
        <w:t>interpreta</w:t>
      </w:r>
      <w:r w:rsidRPr="00C1612A">
        <w:t>tion of test results, including simple calculations</w:t>
      </w:r>
    </w:p>
    <w:p w:rsidR="00000000" w:rsidRPr="00C1612A" w:rsidP="00C1612A">
      <w:pPr>
        <w:pStyle w:val="ListBullet"/>
      </w:pPr>
      <w:r w:rsidRPr="00C1612A">
        <w:t>risks of pathogens, fungi, parasites and bacteria associated with fermentation processes</w:t>
      </w:r>
    </w:p>
    <w:p w:rsidR="00000000" w:rsidRPr="00C1612A" w:rsidP="00C1612A">
      <w:pPr>
        <w:pStyle w:val="ListBullet"/>
      </w:pPr>
      <w:r w:rsidRPr="00C1612A">
        <w:t xml:space="preserve">instruments and measurements used for typical tests including thermometer probe, pH meter, hygrometer </w:t>
      </w:r>
    </w:p>
    <w:p w:rsidR="00000000" w:rsidRPr="00C1612A" w:rsidP="00C1612A">
      <w:pPr>
        <w:pStyle w:val="ListBullet"/>
      </w:pPr>
      <w:r w:rsidRPr="00C1612A">
        <w:t>calibration requirements of measuring and testing equipment</w:t>
      </w:r>
    </w:p>
    <w:p w:rsidR="00000000" w:rsidRPr="00C1612A" w:rsidP="00C1612A">
      <w:pPr>
        <w:pStyle w:val="ListBullet"/>
      </w:pPr>
      <w:r w:rsidRPr="00C1612A">
        <w:t>aerobic/anaerobic requirements for specific fermentation processes</w:t>
      </w:r>
    </w:p>
    <w:p w:rsidR="00000000" w:rsidRPr="00C1612A" w:rsidP="00C1612A">
      <w:pPr>
        <w:pStyle w:val="ListBullet"/>
      </w:pPr>
      <w:r w:rsidRPr="00C1612A">
        <w:t>how to sanitise equipment and where necessary, ingredients</w:t>
      </w:r>
    </w:p>
    <w:p w:rsidR="00000000" w:rsidRPr="00C1612A" w:rsidP="00C1612A">
      <w:pPr>
        <w:pStyle w:val="ListBullet"/>
      </w:pPr>
      <w:r w:rsidRPr="00C1612A">
        <w:t>how changes in pH indicate success or otherwise of the fermentation pr</w:t>
      </w:r>
      <w:r w:rsidRPr="00C1612A">
        <w:t>ocess</w:t>
      </w:r>
    </w:p>
    <w:p w:rsidR="00000000" w:rsidRPr="00C1612A" w:rsidP="00C1612A">
      <w:pPr>
        <w:pStyle w:val="ListBullet"/>
      </w:pPr>
      <w:r w:rsidRPr="00C1612A">
        <w:t>air circulation requirements of specific products</w:t>
      </w:r>
    </w:p>
    <w:p w:rsidR="00000000" w:rsidRPr="00C1612A" w:rsidP="00C1612A">
      <w:pPr>
        <w:pStyle w:val="ListBullet"/>
      </w:pPr>
      <w:r w:rsidRPr="00C1612A">
        <w:t>possible effects of temperature fluctuations, relative humidity and air circulation on product</w:t>
      </w:r>
    </w:p>
    <w:p w:rsidR="00000000" w:rsidRPr="00C1612A" w:rsidP="00C1612A">
      <w:pPr>
        <w:pStyle w:val="ListBullet"/>
      </w:pPr>
      <w:r w:rsidRPr="00C1612A">
        <w:t>methods for controlling atypical outcomes of tests, relevant to process</w:t>
      </w:r>
    </w:p>
    <w:p w:rsidR="00000000" w:rsidRPr="00C1612A" w:rsidP="00C1612A">
      <w:pPr>
        <w:pStyle w:val="ListBullet"/>
      </w:pPr>
      <w:r w:rsidRPr="00C1612A">
        <w:t>Food Standards Code and local hea</w:t>
      </w:r>
      <w:r w:rsidRPr="00C1612A">
        <w:t>lth department requirements in relation to production and sale of fermented food and beverages, including local licensing requirements</w:t>
      </w:r>
    </w:p>
    <w:p w:rsidR="00000000" w:rsidRPr="00C1612A" w:rsidP="00C1612A">
      <w:pPr>
        <w:pStyle w:val="ListBullet"/>
      </w:pPr>
      <w:r w:rsidRPr="00C1612A">
        <w:t>tensions between the Food Standards Code and the fermentation process</w:t>
      </w:r>
    </w:p>
    <w:p w:rsidR="00000000" w:rsidRPr="00C1612A" w:rsidP="00C1612A">
      <w:pPr>
        <w:pStyle w:val="ListBullet"/>
      </w:pPr>
      <w:r w:rsidRPr="00C1612A">
        <w:t xml:space="preserve">waste handling and disposal requirements </w:t>
      </w:r>
    </w:p>
    <w:p w:rsidR="00000000" w:rsidRPr="00C1612A" w:rsidP="00C1612A">
      <w:pPr>
        <w:pStyle w:val="ListBullet"/>
      </w:pPr>
      <w:r w:rsidRPr="00C1612A">
        <w:t>safe hand</w:t>
      </w:r>
      <w:r w:rsidRPr="00C1612A">
        <w:t>ling and transport procedures for samples to be tested at laboratory</w:t>
      </w:r>
    </w:p>
    <w:p w:rsidR="00000000" w:rsidRPr="00C1612A" w:rsidP="00C1612A">
      <w:pPr>
        <w:pStyle w:val="ListBullet"/>
      </w:pPr>
      <w:r w:rsidRPr="00C1612A">
        <w:t>record keeping requirements for traceability of product.</w:t>
      </w:r>
    </w:p>
    <w:p w:rsidR="00000000" w:rsidRPr="00C1612A" w:rsidP="00C1612A">
      <w:pPr>
        <w:pStyle w:val="AllowPageBreak"/>
      </w:pPr>
    </w:p>
    <w:p w:rsidR="00000000" w:rsidRPr="00C1612A" w:rsidP="00C1612A">
      <w:pPr>
        <w:pStyle w:val="Heading1"/>
      </w:pPr>
      <w:bookmarkStart w:id="4" w:name="O_1059820"/>
      <w:bookmarkEnd w:id="4"/>
      <w:r w:rsidRPr="00C1612A">
        <w:t>Assessment Conditions</w:t>
      </w:r>
    </w:p>
    <w:p w:rsidR="00000000" w:rsidRPr="00C1612A" w:rsidP="00577235">
      <w:pPr>
        <w:pStyle w:val="BodyText"/>
      </w:pPr>
      <w:r w:rsidRPr="00C1612A">
        <w:t xml:space="preserve">Assessment of skills must take place under the following conditions: </w:t>
      </w:r>
    </w:p>
    <w:p w:rsidR="00000000" w:rsidRPr="00C1612A" w:rsidP="00C1612A">
      <w:pPr>
        <w:pStyle w:val="ListBullet"/>
      </w:pPr>
      <w:r w:rsidRPr="00C1612A">
        <w:t>physical condition</w:t>
      </w:r>
      <w:r w:rsidRPr="00C1612A">
        <w:t>s:</w:t>
      </w:r>
    </w:p>
    <w:p w:rsidR="00000000" w:rsidRPr="00C1612A" w:rsidP="00C1612A">
      <w:pPr>
        <w:pStyle w:val="ListBullet2"/>
      </w:pPr>
      <w:r w:rsidRPr="00C1612A">
        <w:t>skills must be demonstrated in a workplace setting or an environment that accurately represents a real fermented food or beverage production environment</w:t>
      </w:r>
    </w:p>
    <w:p w:rsidR="00000000" w:rsidRPr="00C1612A" w:rsidP="00C1612A">
      <w:pPr>
        <w:pStyle w:val="ListBullet"/>
      </w:pPr>
      <w:r w:rsidRPr="00C1612A">
        <w:t>resources, equipment and materials:</w:t>
      </w:r>
    </w:p>
    <w:p w:rsidR="00000000" w:rsidRPr="00C1612A" w:rsidP="00C1612A">
      <w:pPr>
        <w:pStyle w:val="ListBullet2"/>
      </w:pPr>
      <w:r w:rsidRPr="00C1612A">
        <w:t>raw materials and equipment to ferment food and/or beverage</w:t>
      </w:r>
    </w:p>
    <w:p w:rsidR="00000000" w:rsidRPr="00C1612A" w:rsidP="00C1612A">
      <w:pPr>
        <w:pStyle w:val="ListBullet2"/>
      </w:pPr>
      <w:r w:rsidRPr="00C1612A">
        <w:t>testing equipment</w:t>
      </w:r>
    </w:p>
    <w:p w:rsidR="00000000" w:rsidRPr="00C1612A" w:rsidP="00C1612A">
      <w:pPr>
        <w:pStyle w:val="ListBullet"/>
      </w:pPr>
      <w:r w:rsidRPr="00C1612A">
        <w:t>specifications:</w:t>
      </w:r>
    </w:p>
    <w:p w:rsidR="00000000" w:rsidRPr="00C1612A" w:rsidP="00C1612A">
      <w:pPr>
        <w:pStyle w:val="ListBullet2"/>
      </w:pPr>
      <w:r w:rsidRPr="00C1612A">
        <w:t>specification for product.</w:t>
      </w:r>
    </w:p>
    <w:p w:rsidR="00000000" w:rsidRPr="00C1612A" w:rsidP="00577235">
      <w:pPr>
        <w:pStyle w:val="BodyText"/>
      </w:pPr>
      <w:r w:rsidRPr="00C1612A">
        <w:t>Assessors of this unit must satisfy the requirements for assessors in applicable vocational education and training legislation, frameworks and/or standards.</w:t>
      </w:r>
    </w:p>
    <w:p w:rsidR="00000000" w:rsidRPr="00C1612A" w:rsidP="00C1612A">
      <w:pPr>
        <w:pStyle w:val="Heading1"/>
      </w:pPr>
      <w:bookmarkStart w:id="5" w:name="O_1059823"/>
      <w:bookmarkEnd w:id="5"/>
      <w:r w:rsidRPr="00C1612A">
        <w:t>Links</w:t>
      </w:r>
    </w:p>
    <w:p w:rsidR="00000000" w:rsidRPr="00C1612A" w:rsidP="00577235">
      <w:pPr>
        <w:pStyle w:val="BodyText"/>
      </w:pPr>
      <w:r w:rsidRPr="00C1612A">
        <w:t>Companion V</w:t>
      </w:r>
      <w:r w:rsidRPr="00C1612A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"https://vetnet.gov.au/Pages/TrainingDocs.aspx?q=78b15323-cd38-483e-aad7-1159b570a5c4\\" </w:instrText>
      </w:r>
      <w:r>
        <w:fldChar w:fldCharType="separate"/>
      </w:r>
      <w:r w:rsidRPr="00DA706B">
        <w:rPr>
          <w:rStyle w:val="Hyperlink"/>
        </w:rPr>
        <w:t>https://vetnet.gov.au/Pages/TrainingDocs.aspx?q=78b15323-cd38-483e-aad7-1159b570a5c4\</w:t>
      </w:r>
      <w:r>
        <w:fldChar w:fldCharType="end"/>
      </w:r>
    </w:p>
    <w:p w:rsidR="00000000" w:rsidRPr="00C1612A" w:rsidP="00C1612A"/>
    <w:sectPr w:rsidSect="00C161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2A" w:rsidRPr="00577235" w:rsidP="00577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235" w:rsidP="00C16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235" w:rsidP="00C16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7235" w:rsidP="00C16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12A" w:rsidRPr="00577235" w:rsidP="00577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235" w:rsidRPr="002D2AF8" w:rsidP="00C16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FBPTEC4023 Control and monitor fermentation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77235" w:rsidP="00C16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D42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06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2C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12A"/>
  </w:style>
  <w:style w:type="character" w:customStyle="1" w:styleId="Heading1Char">
    <w:name w:val="Heading 1 Char"/>
    <w:basedOn w:val="DefaultParagraphFont"/>
    <w:link w:val="Heading1"/>
    <w:rsid w:val="00C16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1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1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612A"/>
    <w:rPr>
      <w:b/>
    </w:rPr>
  </w:style>
  <w:style w:type="character" w:customStyle="1" w:styleId="Heading2Char">
    <w:name w:val="Heading 2 Char"/>
    <w:basedOn w:val="DefaultParagraphFont"/>
    <w:link w:val="Heading2"/>
    <w:rsid w:val="00C16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12A"/>
    <w:rPr>
      <w:b/>
      <w:spacing w:val="0"/>
    </w:rPr>
  </w:style>
  <w:style w:type="paragraph" w:customStyle="1" w:styleId="SuperTitle">
    <w:name w:val="SuperTitle"/>
    <w:basedOn w:val="Title"/>
    <w:rsid w:val="00C16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1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12A"/>
    <w:rPr>
      <w:i/>
    </w:rPr>
  </w:style>
  <w:style w:type="paragraph" w:styleId="Caption">
    <w:name w:val="caption"/>
    <w:basedOn w:val="BodyText"/>
    <w:next w:val="Normal"/>
    <w:qFormat/>
    <w:rsid w:val="00C16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12A"/>
  </w:style>
  <w:style w:type="paragraph" w:styleId="TableofFigures">
    <w:name w:val="table of figures"/>
    <w:basedOn w:val="Normal"/>
    <w:next w:val="Normal"/>
    <w:semiHidden/>
    <w:rsid w:val="00C16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1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12A"/>
    <w:rPr>
      <w:rFonts w:ascii="Wingdings" w:hAnsi="Wingdings"/>
    </w:rPr>
  </w:style>
  <w:style w:type="paragraph" w:customStyle="1" w:styleId="TableHeading">
    <w:name w:val="Table Heading"/>
    <w:basedOn w:val="HeadingBase"/>
    <w:rsid w:val="00C16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12A"/>
    <w:rPr>
      <w:color w:val="0033CC"/>
      <w:u w:val="none"/>
    </w:rPr>
  </w:style>
  <w:style w:type="paragraph" w:customStyle="1" w:styleId="BodyTextRight">
    <w:name w:val="Body Text Right"/>
    <w:basedOn w:val="BodyText"/>
    <w:rsid w:val="00C16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1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12A"/>
    <w:rPr>
      <w:sz w:val="32"/>
    </w:rPr>
  </w:style>
  <w:style w:type="paragraph" w:customStyle="1" w:styleId="HeadingProcedure">
    <w:name w:val="Heading Procedure"/>
    <w:basedOn w:val="HeadingBase"/>
    <w:next w:val="Normal"/>
    <w:rsid w:val="00C16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12A"/>
    <w:pPr>
      <w:spacing w:before="60" w:after="60"/>
    </w:pPr>
  </w:style>
  <w:style w:type="paragraph" w:styleId="ListContinue">
    <w:name w:val="List Continue"/>
    <w:basedOn w:val="List"/>
    <w:rsid w:val="00C1612A"/>
    <w:pPr>
      <w:ind w:firstLine="0"/>
    </w:pPr>
  </w:style>
  <w:style w:type="paragraph" w:customStyle="1" w:styleId="ListNote">
    <w:name w:val="List Note"/>
    <w:basedOn w:val="List"/>
    <w:rsid w:val="00C16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12A"/>
    <w:rPr>
      <w:rFonts w:ascii="Courier New" w:hAnsi="Courier New"/>
    </w:rPr>
  </w:style>
  <w:style w:type="paragraph" w:customStyle="1" w:styleId="NoteBullet">
    <w:name w:val="Note Bullet"/>
    <w:basedOn w:val="Note"/>
    <w:rsid w:val="00C16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1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12A"/>
    <w:rPr>
      <w:b/>
      <w:smallCaps/>
    </w:rPr>
  </w:style>
  <w:style w:type="paragraph" w:customStyle="1" w:styleId="TableListNumber">
    <w:name w:val="Table List Number"/>
    <w:basedOn w:val="ListNumber"/>
    <w:rsid w:val="00C16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12A"/>
    <w:pPr>
      <w:numPr>
        <w:numId w:val="9"/>
      </w:numPr>
    </w:pPr>
  </w:style>
  <w:style w:type="paragraph" w:customStyle="1" w:styleId="ListAlpha2">
    <w:name w:val="List Alpha 2"/>
    <w:basedOn w:val="List2"/>
    <w:rsid w:val="00C1612A"/>
    <w:pPr>
      <w:numPr>
        <w:numId w:val="8"/>
      </w:numPr>
    </w:pPr>
  </w:style>
  <w:style w:type="paragraph" w:styleId="List2">
    <w:name w:val="List 2"/>
    <w:basedOn w:val="BodyText"/>
    <w:rsid w:val="00C16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1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1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12A"/>
    <w:pPr>
      <w:numPr>
        <w:numId w:val="4"/>
      </w:numPr>
    </w:pPr>
  </w:style>
  <w:style w:type="paragraph" w:styleId="ListContinue2">
    <w:name w:val="List Continue 2"/>
    <w:basedOn w:val="List2"/>
    <w:rsid w:val="00C1612A"/>
    <w:pPr>
      <w:ind w:firstLine="0"/>
    </w:pPr>
  </w:style>
  <w:style w:type="paragraph" w:styleId="ListContinue3">
    <w:name w:val="List Continue 3"/>
    <w:basedOn w:val="List3"/>
    <w:rsid w:val="00C1612A"/>
    <w:pPr>
      <w:ind w:left="1021" w:firstLine="0"/>
    </w:pPr>
  </w:style>
  <w:style w:type="paragraph" w:styleId="ListContinue4">
    <w:name w:val="List Continue 4"/>
    <w:basedOn w:val="List4"/>
    <w:rsid w:val="00C1612A"/>
    <w:pPr>
      <w:ind w:firstLine="0"/>
    </w:pPr>
  </w:style>
  <w:style w:type="paragraph" w:styleId="ListContinue5">
    <w:name w:val="List Continue 5"/>
    <w:basedOn w:val="List5"/>
    <w:rsid w:val="00C1612A"/>
    <w:pPr>
      <w:ind w:firstLine="0"/>
    </w:pPr>
  </w:style>
  <w:style w:type="paragraph" w:styleId="ListNumber3">
    <w:name w:val="List Number 3"/>
    <w:basedOn w:val="List3"/>
    <w:rsid w:val="00C1612A"/>
    <w:pPr>
      <w:numPr>
        <w:numId w:val="5"/>
      </w:numPr>
    </w:pPr>
  </w:style>
  <w:style w:type="paragraph" w:styleId="ListNumber4">
    <w:name w:val="List Number 4"/>
    <w:basedOn w:val="List4"/>
    <w:rsid w:val="00C1612A"/>
    <w:pPr>
      <w:numPr>
        <w:numId w:val="6"/>
      </w:numPr>
    </w:pPr>
  </w:style>
  <w:style w:type="paragraph" w:styleId="ListNumber5">
    <w:name w:val="List Number 5"/>
    <w:basedOn w:val="List5"/>
    <w:rsid w:val="00C1612A"/>
    <w:pPr>
      <w:numPr>
        <w:numId w:val="7"/>
      </w:numPr>
    </w:pPr>
  </w:style>
  <w:style w:type="paragraph" w:styleId="BlockText">
    <w:name w:val="Block Text"/>
    <w:basedOn w:val="Normal"/>
    <w:rsid w:val="00C16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12A"/>
    <w:rPr>
      <w:sz w:val="16"/>
      <w:vertAlign w:val="superscript"/>
    </w:rPr>
  </w:style>
  <w:style w:type="character" w:customStyle="1" w:styleId="Symbols">
    <w:name w:val="Symbols"/>
    <w:basedOn w:val="DefaultParagraphFont"/>
    <w:rsid w:val="00C1612A"/>
    <w:rPr>
      <w:rFonts w:ascii="Symbol" w:hAnsi="Symbol"/>
    </w:rPr>
  </w:style>
  <w:style w:type="character" w:customStyle="1" w:styleId="MenuOptions">
    <w:name w:val="Menu Options"/>
    <w:basedOn w:val="DefaultParagraphFont"/>
    <w:rsid w:val="00C16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12A"/>
    <w:rPr>
      <w:b/>
    </w:rPr>
  </w:style>
  <w:style w:type="character" w:customStyle="1" w:styleId="Underlined">
    <w:name w:val="Underlined"/>
    <w:basedOn w:val="DefaultParagraphFont"/>
    <w:rsid w:val="00C1612A"/>
    <w:rPr>
      <w:u w:val="single"/>
    </w:rPr>
  </w:style>
  <w:style w:type="paragraph" w:customStyle="1" w:styleId="TableBodyTextRight">
    <w:name w:val="Table Body Text Right"/>
    <w:basedOn w:val="TableBodyText"/>
    <w:rsid w:val="00C16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12A"/>
    <w:rPr>
      <w:sz w:val="18"/>
    </w:rPr>
  </w:style>
  <w:style w:type="paragraph" w:customStyle="1" w:styleId="BodySmallRight">
    <w:name w:val="Body Small Right"/>
    <w:basedOn w:val="BodyTextRight"/>
    <w:rsid w:val="00C1612A"/>
    <w:rPr>
      <w:sz w:val="18"/>
      <w:szCs w:val="18"/>
    </w:rPr>
  </w:style>
  <w:style w:type="paragraph" w:customStyle="1" w:styleId="MarginEdition">
    <w:name w:val="Margin Edition"/>
    <w:basedOn w:val="MarginNote"/>
    <w:rsid w:val="00C16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12A"/>
    <w:rPr>
      <w:sz w:val="2"/>
      <w:szCs w:val="2"/>
    </w:rPr>
  </w:style>
  <w:style w:type="character" w:customStyle="1" w:styleId="Small">
    <w:name w:val="Small"/>
    <w:basedOn w:val="DefaultParagraphFont"/>
    <w:rsid w:val="00C1612A"/>
    <w:rPr>
      <w:sz w:val="16"/>
    </w:rPr>
  </w:style>
  <w:style w:type="paragraph" w:customStyle="1" w:styleId="WideTable">
    <w:name w:val="Wide Table"/>
    <w:basedOn w:val="Normal"/>
    <w:rsid w:val="00C16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12A"/>
  </w:style>
  <w:style w:type="paragraph" w:styleId="Quote">
    <w:name w:val="Quote"/>
    <w:basedOn w:val="Heading1"/>
    <w:link w:val="QuoteChar"/>
    <w:qFormat/>
    <w:rsid w:val="00C16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12A"/>
    <w:pPr>
      <w:pageBreakBefore/>
    </w:pPr>
  </w:style>
  <w:style w:type="paragraph" w:customStyle="1" w:styleId="Border">
    <w:name w:val="Border"/>
    <w:basedOn w:val="Normal"/>
    <w:qFormat/>
    <w:rsid w:val="00C16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12A"/>
    <w:rPr>
      <w:u w:val="single"/>
    </w:rPr>
  </w:style>
  <w:style w:type="character" w:customStyle="1" w:styleId="BoldandItalics">
    <w:name w:val="Bold and Italics"/>
    <w:qFormat/>
    <w:rsid w:val="00C1612A"/>
    <w:rPr>
      <w:b/>
      <w:i/>
      <w:u w:val="none"/>
    </w:rPr>
  </w:style>
  <w:style w:type="paragraph" w:styleId="BalloonText">
    <w:name w:val="Balloon Text"/>
    <w:basedOn w:val="Normal"/>
    <w:link w:val="BalloonTextChar"/>
    <w:rsid w:val="00C16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1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7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3572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FBPTEC4023 Control and monitor fermentation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2023-01-25T14:16:00Z</dcterms:created>
  <dcterms:modified xsi:type="dcterms:W3CDTF">2023-01-25T14:16:00Z</dcterms:modified>
</cp:coreProperties>
</file>