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820" w:rsidP="006B0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FBPTEC4022 Prepare starter cultures for fermentation</w:t>
      </w:r>
      <w:r>
        <w:fldChar w:fldCharType="end"/>
      </w:r>
    </w:p>
    <w:p w:rsidR="006B0820" w:rsidP="006B0820">
      <w:pPr>
        <w:pStyle w:val="Version"/>
        <w:sectPr w:rsidSect="00E71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78E" w:rsidP="00E7178E">
      <w:pPr>
        <w:pStyle w:val="SuperHeading"/>
      </w:pPr>
      <w:r w:rsidRPr="00E7178E">
        <w:t>FBPTEC4022 Prepare starter cultures for fermentation</w:t>
      </w:r>
    </w:p>
    <w:p w:rsidR="00000000" w:rsidRPr="00E7178E" w:rsidP="00E7178E">
      <w:pPr>
        <w:pStyle w:val="Heading1"/>
      </w:pPr>
      <w:bookmarkStart w:id="1" w:name="O_1059769"/>
      <w:bookmarkEnd w:id="1"/>
      <w:r w:rsidRPr="00E717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Comments</w:t>
            </w:r>
          </w:p>
        </w:tc>
      </w:tr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BodyText"/>
            </w:pPr>
            <w:r w:rsidRPr="00E7178E">
              <w:t>This version released with FBP Food, Beverage and Pharmaceutical Training Package version 3.0.</w:t>
            </w:r>
          </w:p>
        </w:tc>
      </w:tr>
    </w:tbl>
    <w:p w:rsidR="00000000" w:rsidRPr="00E7178E" w:rsidP="00E7178E">
      <w:pPr>
        <w:pStyle w:val="BodyText"/>
      </w:pPr>
    </w:p>
    <w:p w:rsidR="00000000" w:rsidRPr="00E7178E" w:rsidP="00E7178E">
      <w:pPr>
        <w:pStyle w:val="AllowPageBreak"/>
      </w:pPr>
    </w:p>
    <w:p w:rsidR="00000000" w:rsidRPr="00E7178E" w:rsidP="00E7178E">
      <w:pPr>
        <w:pStyle w:val="Heading1"/>
      </w:pPr>
      <w:bookmarkStart w:id="2" w:name="O_1059770"/>
      <w:bookmarkEnd w:id="2"/>
      <w:r w:rsidRPr="00E7178E">
        <w:t>Application</w:t>
      </w:r>
    </w:p>
    <w:p w:rsidR="00000000" w:rsidRPr="00E7178E" w:rsidP="006B0820">
      <w:pPr>
        <w:pStyle w:val="BodyText"/>
      </w:pPr>
      <w:r w:rsidRPr="00E7178E">
        <w:t>This unit of competency describes the skills and knowledge re</w:t>
      </w:r>
      <w:r w:rsidRPr="00E7178E">
        <w:t xml:space="preserve">quired to prepare for the fermentation of food or beverages, including producing a starter culture. </w:t>
      </w:r>
    </w:p>
    <w:p w:rsidR="00000000" w:rsidRPr="00E7178E" w:rsidP="006B0820">
      <w:pPr>
        <w:pStyle w:val="BodyText"/>
      </w:pPr>
      <w:r w:rsidRPr="00E7178E">
        <w:t>This unit applies to those workers who have responsibility for overseeing the production of fermented food and/or beverages and the quality assurance requi</w:t>
      </w:r>
      <w:r w:rsidRPr="00E7178E">
        <w:t>rements associated with those products.</w:t>
      </w:r>
    </w:p>
    <w:p w:rsidR="00000000" w:rsidRPr="00E7178E" w:rsidP="006B0820">
      <w:pPr>
        <w:pStyle w:val="BodyText"/>
      </w:pPr>
      <w:r w:rsidRPr="00E7178E">
        <w:t>No licensing or certification requirements apply to this unit at the time of publication. However, legislative and regulatory requirements for fermented food processing, and commercial sale of food and beverage produ</w:t>
      </w:r>
      <w:r w:rsidRPr="00E7178E">
        <w:t xml:space="preserve">cts, exist so local requirements must be checked. All work must comply with Australian food safety standards and relevant codes of practice. </w:t>
      </w:r>
    </w:p>
    <w:p w:rsidR="00000000" w:rsidRPr="00E7178E" w:rsidP="00E7178E">
      <w:pPr>
        <w:pStyle w:val="Heading1"/>
      </w:pPr>
      <w:bookmarkStart w:id="3" w:name="O_1059771"/>
      <w:bookmarkEnd w:id="3"/>
      <w:r w:rsidRPr="00E7178E">
        <w:t>Pre-requisite Unit</w:t>
      </w:r>
    </w:p>
    <w:p w:rsidR="00000000" w:rsidRPr="00E7178E" w:rsidP="006B0820">
      <w:pPr>
        <w:pStyle w:val="BodyText"/>
      </w:pPr>
      <w:r w:rsidRPr="00E7178E">
        <w:t>Nil</w:t>
      </w:r>
    </w:p>
    <w:p w:rsidR="00000000" w:rsidRPr="00E7178E" w:rsidP="00E7178E">
      <w:pPr>
        <w:pStyle w:val="Heading1"/>
      </w:pPr>
      <w:bookmarkStart w:id="4" w:name="O_1059773"/>
      <w:bookmarkEnd w:id="4"/>
      <w:r w:rsidRPr="00E7178E">
        <w:t>Unit Sector</w:t>
      </w:r>
    </w:p>
    <w:p w:rsidR="00000000" w:rsidRPr="00E7178E" w:rsidP="006B0820">
      <w:pPr>
        <w:pStyle w:val="BodyText"/>
      </w:pPr>
      <w:r w:rsidRPr="00E7178E">
        <w:t>Technical (TEC)</w:t>
      </w:r>
    </w:p>
    <w:p w:rsidR="00000000" w:rsidRPr="00E7178E" w:rsidP="00E7178E">
      <w:pPr>
        <w:pStyle w:val="Heading1"/>
      </w:pPr>
      <w:bookmarkStart w:id="5" w:name="O_1059774"/>
      <w:bookmarkEnd w:id="5"/>
      <w:r w:rsidRPr="00E717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Performance Criteria</w:t>
            </w:r>
          </w:p>
        </w:tc>
      </w:tr>
      <w:tr w:rsidTr="006B0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BodyText"/>
            </w:pPr>
            <w:r w:rsidRPr="00E717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1. Set up for starter culture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BodyText"/>
            </w:pPr>
            <w:r w:rsidRPr="00E7178E">
              <w:t>1.1 Identif</w:t>
            </w:r>
            <w:r w:rsidRPr="00E7178E">
              <w:t>y hazards in the starter culture production and manage risks</w:t>
            </w:r>
          </w:p>
          <w:p w:rsidR="00000000" w:rsidRPr="00E7178E" w:rsidP="00E7178E">
            <w:pPr>
              <w:pStyle w:val="BodyText"/>
            </w:pPr>
            <w:r w:rsidRPr="00E7178E">
              <w:t>1.2 Clean and sanitise equipment and environment according to workplace procedures</w:t>
            </w:r>
          </w:p>
          <w:p w:rsidR="00000000" w:rsidRPr="00E7178E" w:rsidP="00E7178E">
            <w:pPr>
              <w:pStyle w:val="BodyText"/>
            </w:pPr>
            <w:r w:rsidRPr="00E7178E">
              <w:t>1.3 Identify specification for starter culture</w:t>
            </w:r>
          </w:p>
          <w:p w:rsidR="00000000" w:rsidRPr="00E7178E" w:rsidP="00E7178E">
            <w:pPr>
              <w:pStyle w:val="BodyText"/>
            </w:pPr>
            <w:r w:rsidRPr="00E7178E">
              <w:t>1.4 Confirm availability of raw materials to prepare starter</w:t>
            </w:r>
          </w:p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 xml:space="preserve">1.5 </w:t>
            </w:r>
            <w:r w:rsidRPr="00E7178E">
              <w:t>Check quality of raw materials meets specification for starter culture</w:t>
            </w:r>
          </w:p>
        </w:tc>
      </w:tr>
      <w:tr w:rsidTr="006B0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2. Produce starter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BodyText"/>
            </w:pPr>
            <w:r w:rsidRPr="00E7178E">
              <w:t>2.1 Check the integrity of the yeast, bacteria and/or fungi to ensure it is clear of contamination</w:t>
            </w:r>
          </w:p>
          <w:p w:rsidR="00000000" w:rsidRPr="00E7178E" w:rsidP="00E7178E">
            <w:pPr>
              <w:pStyle w:val="BodyText"/>
            </w:pPr>
            <w:r w:rsidRPr="00E7178E">
              <w:t>2.2 Inoculate cultivation medium with yeast, bacteria and/or fungi, specific to product specification</w:t>
            </w:r>
          </w:p>
          <w:p w:rsidR="00000000" w:rsidRPr="00E7178E" w:rsidP="00E7178E">
            <w:pPr>
              <w:pStyle w:val="BodyText"/>
            </w:pPr>
            <w:r w:rsidRPr="00E7178E">
              <w:t>2.3 Mix medium with yeast, bacteria and/or fungi</w:t>
            </w:r>
          </w:p>
          <w:p w:rsidR="00000000" w:rsidRPr="00E7178E" w:rsidP="00E7178E">
            <w:pPr>
              <w:pStyle w:val="BodyText"/>
            </w:pPr>
            <w:r w:rsidRPr="00E7178E">
              <w:t>2.4 Incubate for specified time, in line with starter culture requirements</w:t>
            </w:r>
          </w:p>
          <w:p w:rsidR="00000000" w:rsidRPr="00E7178E" w:rsidP="00E7178E">
            <w:pPr>
              <w:pStyle w:val="BodyText"/>
            </w:pPr>
            <w:r w:rsidRPr="00E7178E">
              <w:t>2.5 Stop incubation process wh</w:t>
            </w:r>
            <w:r w:rsidRPr="00E7178E">
              <w:t>en starter medium reaches desired parameters</w:t>
            </w:r>
          </w:p>
          <w:p w:rsidR="00000000" w:rsidRPr="00E7178E" w:rsidP="00E7178E">
            <w:pPr>
              <w:pStyle w:val="BodyText"/>
            </w:pPr>
            <w:r w:rsidRPr="00E7178E">
              <w:t>2.6 Record details of process for traceability, in line with organisational and regulatory requirements</w:t>
            </w:r>
          </w:p>
          <w:p w:rsidR="00000000" w:rsidRPr="00E7178E" w:rsidP="00E7178E">
            <w:pPr>
              <w:pStyle w:val="BodyText"/>
            </w:pPr>
            <w:r w:rsidRPr="00E7178E">
              <w:t>2.7 Store starter for future use</w:t>
            </w:r>
          </w:p>
        </w:tc>
      </w:tr>
    </w:tbl>
    <w:p w:rsidR="00000000" w:rsidRPr="00E7178E" w:rsidP="00E7178E">
      <w:pPr>
        <w:pStyle w:val="BodyText"/>
      </w:pPr>
    </w:p>
    <w:p w:rsidR="00000000" w:rsidRPr="00E7178E" w:rsidP="00E7178E">
      <w:pPr>
        <w:pStyle w:val="AllowPageBreak"/>
      </w:pPr>
    </w:p>
    <w:p w:rsidR="00000000" w:rsidRPr="00E7178E" w:rsidP="00E7178E">
      <w:pPr>
        <w:pStyle w:val="Heading1"/>
      </w:pPr>
      <w:bookmarkStart w:id="6" w:name="O_1059775"/>
      <w:bookmarkEnd w:id="6"/>
      <w:r w:rsidRPr="00E7178E">
        <w:t>Foundation Skills</w:t>
      </w:r>
    </w:p>
    <w:p w:rsidR="00000000" w:rsidRPr="006B0820" w:rsidP="006B0820">
      <w:pPr>
        <w:pStyle w:val="BodyText"/>
        <w:rPr>
          <w:i/>
        </w:rPr>
      </w:pPr>
      <w:r w:rsidRPr="006B0820">
        <w:rPr>
          <w:rStyle w:val="Emphasis"/>
        </w:rPr>
        <w:t>This section describes those langua</w:t>
      </w:r>
      <w:r w:rsidRPr="006B0820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Description</w:t>
            </w:r>
          </w:p>
        </w:tc>
      </w:tr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ListBullet"/>
            </w:pPr>
            <w:r w:rsidRPr="00E7178E">
              <w:t>Convert units involving multiples and submultiples</w:t>
            </w:r>
          </w:p>
          <w:p w:rsidR="00000000" w:rsidRPr="00E7178E" w:rsidP="00E7178E">
            <w:pPr>
              <w:pStyle w:val="ListBullet"/>
            </w:pPr>
            <w:r w:rsidRPr="00E7178E">
              <w:t>Use fractions, decimals, proportions and percentages to determine responses to results</w:t>
            </w:r>
          </w:p>
          <w:p w:rsidR="00000000" w:rsidRPr="00E7178E" w:rsidP="00E7178E">
            <w:pPr>
              <w:pStyle w:val="ListBullet"/>
            </w:pPr>
            <w:r w:rsidRPr="00E7178E">
              <w:t>Use volumes (ml, L) and weights (mg, g, kg) to describe product quantities</w:t>
            </w:r>
          </w:p>
          <w:p w:rsidR="00000000" w:rsidRPr="00E7178E" w:rsidP="00E7178E">
            <w:pPr>
              <w:pStyle w:val="ListBullet"/>
            </w:pPr>
            <w:r w:rsidRPr="00E7178E">
              <w:t>Calculate dose (mg), average mass, mass percentage, density, moisture, relative and absolute h</w:t>
            </w:r>
            <w:r w:rsidRPr="00E7178E">
              <w:t>umidity</w:t>
            </w:r>
          </w:p>
          <w:p w:rsidR="00000000" w:rsidRPr="00E7178E" w:rsidP="00E7178E">
            <w:pPr>
              <w:pStyle w:val="ListBullet"/>
            </w:pPr>
            <w:r w:rsidRPr="00E7178E">
              <w:t>Determine ratios, such as mass to mass, mass to volume and volume to volume percentages</w:t>
            </w:r>
          </w:p>
          <w:p w:rsidR="00000000" w:rsidP="00E7178E">
            <w:pPr>
              <w:pStyle w:val="ListBullet"/>
              <w:rPr>
                <w:lang w:val="en-NZ"/>
              </w:rPr>
            </w:pPr>
            <w:r w:rsidRPr="00E7178E">
              <w:t>Calculate concentration, such as g/100mL, mg/L and dilution ml/L</w:t>
            </w:r>
          </w:p>
        </w:tc>
      </w:tr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ListBullet"/>
            </w:pPr>
            <w:r w:rsidRPr="00E7178E">
              <w:t>Think through options to identify and respond to atypical results of tests</w:t>
            </w:r>
          </w:p>
          <w:p w:rsidR="00000000" w:rsidRPr="00E7178E" w:rsidP="00E7178E">
            <w:pPr>
              <w:pStyle w:val="ListBullet"/>
            </w:pPr>
            <w:r w:rsidRPr="00E7178E">
              <w:t xml:space="preserve">Trace and source obvious cause of artefact or malfunction </w:t>
            </w:r>
          </w:p>
        </w:tc>
      </w:tr>
    </w:tbl>
    <w:p w:rsidR="00000000" w:rsidRPr="00E7178E" w:rsidP="00E7178E">
      <w:pPr>
        <w:pStyle w:val="BodyText"/>
      </w:pPr>
    </w:p>
    <w:p w:rsidR="00000000" w:rsidRPr="00E7178E" w:rsidP="00E7178E">
      <w:pPr>
        <w:pStyle w:val="AllowPageBreak"/>
      </w:pPr>
    </w:p>
    <w:p w:rsidR="00000000" w:rsidRPr="00E7178E" w:rsidP="00E7178E">
      <w:pPr>
        <w:pStyle w:val="Heading1"/>
      </w:pPr>
      <w:bookmarkStart w:id="7" w:name="O_1059777"/>
      <w:bookmarkEnd w:id="7"/>
      <w:r w:rsidRPr="00E717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Bold"/>
              <w:rPr>
                <w:lang w:val="en-NZ"/>
              </w:rPr>
            </w:pPr>
            <w:r w:rsidRPr="00E7178E">
              <w:t>Equivalence status</w:t>
            </w:r>
          </w:p>
        </w:tc>
      </w:tr>
      <w:tr w:rsidTr="00E71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FBPFTEC4022 Prepare starter cultures for fermentation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78E">
            <w:pPr>
              <w:pStyle w:val="BodyText"/>
              <w:rPr>
                <w:lang w:val="en-NZ"/>
              </w:rPr>
            </w:pPr>
            <w:r w:rsidRPr="00E7178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78E" w:rsidP="00E7178E">
            <w:pPr>
              <w:pStyle w:val="BodyText"/>
            </w:pPr>
            <w:r w:rsidRPr="00E7178E">
              <w:t>No equivalent unit</w:t>
            </w:r>
          </w:p>
        </w:tc>
      </w:tr>
    </w:tbl>
    <w:p w:rsidR="00000000" w:rsidRPr="00E7178E" w:rsidP="00E7178E">
      <w:pPr>
        <w:pStyle w:val="BodyText"/>
      </w:pPr>
    </w:p>
    <w:p w:rsidR="00000000" w:rsidRPr="00E7178E" w:rsidP="00E7178E">
      <w:pPr>
        <w:pStyle w:val="AllowPageBreak"/>
      </w:pPr>
    </w:p>
    <w:p w:rsidR="00000000" w:rsidRPr="00E7178E" w:rsidP="00E7178E">
      <w:pPr>
        <w:pStyle w:val="Heading1"/>
      </w:pPr>
      <w:bookmarkStart w:id="8" w:name="O_1059784"/>
      <w:bookmarkEnd w:id="8"/>
      <w:r w:rsidRPr="00E7178E">
        <w:t>Links</w:t>
      </w:r>
    </w:p>
    <w:p w:rsidR="00000000" w:rsidRPr="00E7178E" w:rsidP="006B0820">
      <w:pPr>
        <w:pStyle w:val="BodyText"/>
      </w:pPr>
      <w:r w:rsidRPr="00E717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14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178E" w:rsidP="00E7178E"/>
    <w:sectPr w:rsidSect="00E71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E" w:rsidRPr="006B0820" w:rsidP="006B0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20" w:rsidP="00E71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820" w:rsidP="00E71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0820" w:rsidP="00E71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78E" w:rsidRPr="006B0820" w:rsidP="006B0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20" w:rsidRPr="002D2AF8" w:rsidP="00E71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FBPTEC4022 Prepare starter cultures for fermentation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B0820" w:rsidP="00E71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C00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21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78E"/>
  </w:style>
  <w:style w:type="character" w:customStyle="1" w:styleId="Heading1Char">
    <w:name w:val="Heading 1 Char"/>
    <w:basedOn w:val="DefaultParagraphFont"/>
    <w:link w:val="Heading1"/>
    <w:rsid w:val="00E71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78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78E"/>
    <w:rPr>
      <w:i/>
    </w:rPr>
  </w:style>
  <w:style w:type="paragraph" w:customStyle="1" w:styleId="SuperHeading">
    <w:name w:val="SuperHeading"/>
    <w:basedOn w:val="Normal"/>
    <w:rsid w:val="00E71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78E"/>
    <w:rPr>
      <w:b/>
    </w:rPr>
  </w:style>
  <w:style w:type="character" w:customStyle="1" w:styleId="Heading2Char">
    <w:name w:val="Heading 2 Char"/>
    <w:basedOn w:val="DefaultParagraphFont"/>
    <w:link w:val="Heading2"/>
    <w:rsid w:val="00E71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78E"/>
    <w:rPr>
      <w:b/>
      <w:spacing w:val="0"/>
    </w:rPr>
  </w:style>
  <w:style w:type="paragraph" w:customStyle="1" w:styleId="SuperTitle">
    <w:name w:val="SuperTitle"/>
    <w:basedOn w:val="Title"/>
    <w:rsid w:val="00E71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78E"/>
  </w:style>
  <w:style w:type="paragraph" w:styleId="TableofFigures">
    <w:name w:val="table of figures"/>
    <w:basedOn w:val="Normal"/>
    <w:next w:val="Normal"/>
    <w:semiHidden/>
    <w:rsid w:val="00E71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78E"/>
    <w:rPr>
      <w:rFonts w:ascii="Wingdings" w:hAnsi="Wingdings"/>
    </w:rPr>
  </w:style>
  <w:style w:type="paragraph" w:customStyle="1" w:styleId="TableHeading">
    <w:name w:val="Table Heading"/>
    <w:basedOn w:val="HeadingBase"/>
    <w:rsid w:val="00E71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78E"/>
    <w:rPr>
      <w:color w:val="0033CC"/>
      <w:u w:val="none"/>
    </w:rPr>
  </w:style>
  <w:style w:type="paragraph" w:customStyle="1" w:styleId="BodyTextRight">
    <w:name w:val="Body Text Right"/>
    <w:basedOn w:val="BodyText"/>
    <w:rsid w:val="00E71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78E"/>
    <w:rPr>
      <w:sz w:val="32"/>
    </w:rPr>
  </w:style>
  <w:style w:type="paragraph" w:customStyle="1" w:styleId="HeadingProcedure">
    <w:name w:val="Heading Procedure"/>
    <w:basedOn w:val="HeadingBase"/>
    <w:next w:val="Normal"/>
    <w:rsid w:val="00E71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78E"/>
    <w:pPr>
      <w:spacing w:before="60" w:after="60"/>
    </w:pPr>
  </w:style>
  <w:style w:type="paragraph" w:styleId="ListContinue">
    <w:name w:val="List Continue"/>
    <w:basedOn w:val="List"/>
    <w:rsid w:val="00E7178E"/>
    <w:pPr>
      <w:ind w:firstLine="0"/>
    </w:pPr>
  </w:style>
  <w:style w:type="paragraph" w:customStyle="1" w:styleId="ListNote">
    <w:name w:val="List Note"/>
    <w:basedOn w:val="List"/>
    <w:rsid w:val="00E71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78E"/>
    <w:rPr>
      <w:rFonts w:ascii="Courier New" w:hAnsi="Courier New"/>
    </w:rPr>
  </w:style>
  <w:style w:type="paragraph" w:customStyle="1" w:styleId="NoteBullet">
    <w:name w:val="Note Bullet"/>
    <w:basedOn w:val="Note"/>
    <w:rsid w:val="00E71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78E"/>
    <w:rPr>
      <w:b/>
      <w:smallCaps/>
    </w:rPr>
  </w:style>
  <w:style w:type="paragraph" w:customStyle="1" w:styleId="TableListNumber">
    <w:name w:val="Table List Number"/>
    <w:basedOn w:val="ListNumber"/>
    <w:rsid w:val="00E71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78E"/>
    <w:pPr>
      <w:numPr>
        <w:numId w:val="8"/>
      </w:numPr>
    </w:pPr>
  </w:style>
  <w:style w:type="paragraph" w:customStyle="1" w:styleId="ListAlpha2">
    <w:name w:val="List Alpha 2"/>
    <w:basedOn w:val="List2"/>
    <w:rsid w:val="00E7178E"/>
    <w:pPr>
      <w:numPr>
        <w:numId w:val="7"/>
      </w:numPr>
    </w:pPr>
  </w:style>
  <w:style w:type="paragraph" w:styleId="List2">
    <w:name w:val="List 2"/>
    <w:basedOn w:val="BodyText"/>
    <w:rsid w:val="00E71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78E"/>
    <w:pPr>
      <w:numPr>
        <w:numId w:val="3"/>
      </w:numPr>
    </w:pPr>
  </w:style>
  <w:style w:type="paragraph" w:styleId="ListContinue2">
    <w:name w:val="List Continue 2"/>
    <w:basedOn w:val="List2"/>
    <w:rsid w:val="00E7178E"/>
    <w:pPr>
      <w:ind w:firstLine="0"/>
    </w:pPr>
  </w:style>
  <w:style w:type="paragraph" w:styleId="ListContinue3">
    <w:name w:val="List Continue 3"/>
    <w:basedOn w:val="List3"/>
    <w:rsid w:val="00E7178E"/>
    <w:pPr>
      <w:ind w:left="1021" w:firstLine="0"/>
    </w:pPr>
  </w:style>
  <w:style w:type="paragraph" w:styleId="ListContinue4">
    <w:name w:val="List Continue 4"/>
    <w:basedOn w:val="List4"/>
    <w:rsid w:val="00E7178E"/>
    <w:pPr>
      <w:ind w:firstLine="0"/>
    </w:pPr>
  </w:style>
  <w:style w:type="paragraph" w:styleId="ListContinue5">
    <w:name w:val="List Continue 5"/>
    <w:basedOn w:val="List5"/>
    <w:rsid w:val="00E7178E"/>
    <w:pPr>
      <w:ind w:firstLine="0"/>
    </w:pPr>
  </w:style>
  <w:style w:type="paragraph" w:styleId="ListNumber3">
    <w:name w:val="List Number 3"/>
    <w:basedOn w:val="List3"/>
    <w:rsid w:val="00E7178E"/>
    <w:pPr>
      <w:numPr>
        <w:numId w:val="4"/>
      </w:numPr>
    </w:pPr>
  </w:style>
  <w:style w:type="paragraph" w:styleId="ListNumber4">
    <w:name w:val="List Number 4"/>
    <w:basedOn w:val="List4"/>
    <w:rsid w:val="00E7178E"/>
    <w:pPr>
      <w:numPr>
        <w:numId w:val="5"/>
      </w:numPr>
    </w:pPr>
  </w:style>
  <w:style w:type="paragraph" w:styleId="ListNumber5">
    <w:name w:val="List Number 5"/>
    <w:basedOn w:val="List5"/>
    <w:rsid w:val="00E7178E"/>
    <w:pPr>
      <w:numPr>
        <w:numId w:val="6"/>
      </w:numPr>
    </w:pPr>
  </w:style>
  <w:style w:type="paragraph" w:styleId="BlockText">
    <w:name w:val="Block Text"/>
    <w:basedOn w:val="Normal"/>
    <w:rsid w:val="00E71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78E"/>
    <w:rPr>
      <w:sz w:val="16"/>
      <w:vertAlign w:val="superscript"/>
    </w:rPr>
  </w:style>
  <w:style w:type="character" w:customStyle="1" w:styleId="Symbols">
    <w:name w:val="Symbols"/>
    <w:basedOn w:val="DefaultParagraphFont"/>
    <w:rsid w:val="00E7178E"/>
    <w:rPr>
      <w:rFonts w:ascii="Symbol" w:hAnsi="Symbol"/>
    </w:rPr>
  </w:style>
  <w:style w:type="character" w:customStyle="1" w:styleId="MenuOptions">
    <w:name w:val="Menu Options"/>
    <w:basedOn w:val="DefaultParagraphFont"/>
    <w:rsid w:val="00E71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78E"/>
    <w:rPr>
      <w:b/>
    </w:rPr>
  </w:style>
  <w:style w:type="character" w:customStyle="1" w:styleId="Underlined">
    <w:name w:val="Underlined"/>
    <w:basedOn w:val="DefaultParagraphFont"/>
    <w:rsid w:val="00E7178E"/>
    <w:rPr>
      <w:u w:val="single"/>
    </w:rPr>
  </w:style>
  <w:style w:type="paragraph" w:customStyle="1" w:styleId="TableBodyTextRight">
    <w:name w:val="Table Body Text Right"/>
    <w:basedOn w:val="TableBodyText"/>
    <w:rsid w:val="00E71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78E"/>
    <w:rPr>
      <w:sz w:val="18"/>
    </w:rPr>
  </w:style>
  <w:style w:type="paragraph" w:customStyle="1" w:styleId="BodySmallRight">
    <w:name w:val="Body Small Right"/>
    <w:basedOn w:val="BodyTextRight"/>
    <w:rsid w:val="00E7178E"/>
    <w:rPr>
      <w:sz w:val="18"/>
      <w:szCs w:val="18"/>
    </w:rPr>
  </w:style>
  <w:style w:type="paragraph" w:customStyle="1" w:styleId="MarginEdition">
    <w:name w:val="Margin Edition"/>
    <w:basedOn w:val="MarginNote"/>
    <w:rsid w:val="00E71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78E"/>
    <w:rPr>
      <w:sz w:val="2"/>
      <w:szCs w:val="2"/>
    </w:rPr>
  </w:style>
  <w:style w:type="character" w:customStyle="1" w:styleId="Small">
    <w:name w:val="Small"/>
    <w:basedOn w:val="DefaultParagraphFont"/>
    <w:rsid w:val="00E7178E"/>
    <w:rPr>
      <w:sz w:val="16"/>
    </w:rPr>
  </w:style>
  <w:style w:type="paragraph" w:customStyle="1" w:styleId="WideTable">
    <w:name w:val="Wide Table"/>
    <w:basedOn w:val="Normal"/>
    <w:rsid w:val="00E71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78E"/>
  </w:style>
  <w:style w:type="paragraph" w:styleId="Quote">
    <w:name w:val="Quote"/>
    <w:basedOn w:val="Heading1"/>
    <w:link w:val="QuoteChar"/>
    <w:qFormat/>
    <w:rsid w:val="00E71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78E"/>
    <w:pPr>
      <w:pageBreakBefore/>
    </w:pPr>
  </w:style>
  <w:style w:type="paragraph" w:customStyle="1" w:styleId="Border">
    <w:name w:val="Border"/>
    <w:basedOn w:val="Normal"/>
    <w:qFormat/>
    <w:rsid w:val="00E71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78E"/>
    <w:rPr>
      <w:u w:val="single"/>
    </w:rPr>
  </w:style>
  <w:style w:type="character" w:customStyle="1" w:styleId="BoldandItalics">
    <w:name w:val="Bold and Italics"/>
    <w:qFormat/>
    <w:rsid w:val="00E7178E"/>
    <w:rPr>
      <w:b/>
      <w:i/>
      <w:u w:val="none"/>
    </w:rPr>
  </w:style>
  <w:style w:type="paragraph" w:styleId="BalloonText">
    <w:name w:val="Balloon Text"/>
    <w:basedOn w:val="Normal"/>
    <w:link w:val="BalloonTextChar"/>
    <w:rsid w:val="00E71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7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3115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FBPTEC4022 Prepare starter cultures for fermentation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