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4A1B" w:rsidP="00114A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FBPTEC4011 Establish process capability</w:t>
      </w:r>
      <w:r>
        <w:fldChar w:fldCharType="end"/>
      </w:r>
    </w:p>
    <w:p w:rsidR="00114A1B" w:rsidP="00114A1B">
      <w:pPr>
        <w:pStyle w:val="Version"/>
        <w:sectPr w:rsidSect="002975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757C" w:rsidP="0029757C">
      <w:pPr>
        <w:pStyle w:val="SuperHeading"/>
      </w:pPr>
      <w:r w:rsidRPr="0029757C">
        <w:t>FBPTEC4011 Establish process capability</w:t>
      </w:r>
    </w:p>
    <w:p w:rsidR="00000000" w:rsidRPr="0029757C" w:rsidP="0029757C">
      <w:pPr>
        <w:pStyle w:val="Heading1"/>
      </w:pPr>
      <w:bookmarkStart w:id="1" w:name="O_998103"/>
      <w:bookmarkEnd w:id="1"/>
      <w:r w:rsidRPr="0029757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2975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57C" w:rsidP="0029757C">
            <w:pPr>
              <w:pStyle w:val="BodyText"/>
            </w:pPr>
            <w:r w:rsidRPr="0029757C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7C">
            <w:pPr>
              <w:pStyle w:val="BodyText"/>
              <w:rPr>
                <w:lang w:val="en-NZ"/>
              </w:rPr>
            </w:pPr>
            <w:r w:rsidRPr="0029757C">
              <w:rPr>
                <w:rStyle w:val="SpecialBold"/>
              </w:rPr>
              <w:t>Comments</w:t>
            </w:r>
          </w:p>
        </w:tc>
      </w:tr>
      <w:tr w:rsidTr="002975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7C">
            <w:pPr>
              <w:pStyle w:val="BodyText"/>
              <w:rPr>
                <w:lang w:val="en-NZ"/>
              </w:rPr>
            </w:pPr>
            <w:r w:rsidRPr="0029757C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57C" w:rsidP="0029757C">
            <w:pPr>
              <w:pStyle w:val="BodyText"/>
            </w:pPr>
            <w:r w:rsidRPr="0029757C">
              <w:t>This version released with the FBP Food, Beverage and Pharmaceutical Training Package Version 2.0.</w:t>
            </w:r>
          </w:p>
        </w:tc>
      </w:tr>
    </w:tbl>
    <w:p w:rsidR="00000000" w:rsidRPr="0029757C" w:rsidP="0029757C">
      <w:pPr>
        <w:pStyle w:val="BodyText"/>
      </w:pPr>
    </w:p>
    <w:p w:rsidR="00000000" w:rsidRPr="0029757C" w:rsidP="0029757C">
      <w:pPr>
        <w:pStyle w:val="AllowPageBreak"/>
      </w:pPr>
    </w:p>
    <w:p w:rsidR="00000000" w:rsidRPr="0029757C" w:rsidP="0029757C">
      <w:pPr>
        <w:pStyle w:val="Heading1"/>
      </w:pPr>
      <w:bookmarkStart w:id="2" w:name="O_998104"/>
      <w:bookmarkEnd w:id="2"/>
      <w:r w:rsidRPr="0029757C">
        <w:t>Application</w:t>
      </w:r>
    </w:p>
    <w:p w:rsidR="00000000" w:rsidRPr="0029757C" w:rsidP="00114A1B">
      <w:pPr>
        <w:pStyle w:val="BodyText"/>
      </w:pPr>
      <w:r w:rsidRPr="0029757C">
        <w:t xml:space="preserve">This unit of competency describes the skills and knowledge required to study </w:t>
      </w:r>
      <w:r w:rsidRPr="0029757C">
        <w:t>process data to determine process capability using statistical process control techniques.</w:t>
      </w:r>
    </w:p>
    <w:p w:rsidR="00000000" w:rsidRPr="0029757C" w:rsidP="00114A1B">
      <w:pPr>
        <w:pStyle w:val="BodyText"/>
      </w:pPr>
      <w:r w:rsidRPr="0029757C">
        <w:t>This unit applies to people responsible for establishing control charts and related sampling plans. It applies to individuals who take responsibility for their own w</w:t>
      </w:r>
      <w:r w:rsidRPr="0029757C">
        <w:t>ork, and provide and communicate solutions to a range of predictable and sometimes unpredictable problems.</w:t>
      </w:r>
    </w:p>
    <w:p w:rsidR="00000000" w:rsidRPr="0029757C" w:rsidP="00114A1B">
      <w:pPr>
        <w:pStyle w:val="BodyText"/>
      </w:pPr>
      <w:r w:rsidRPr="0029757C">
        <w:t>No licensing, legislative or certification requirements apply to this unit at the time of publication.</w:t>
      </w:r>
    </w:p>
    <w:p w:rsidR="00000000" w:rsidRPr="0029757C" w:rsidP="0029757C">
      <w:pPr>
        <w:pStyle w:val="Heading1"/>
      </w:pPr>
      <w:bookmarkStart w:id="3" w:name="O_998105"/>
      <w:bookmarkEnd w:id="3"/>
      <w:r w:rsidRPr="0029757C">
        <w:t>Pre-requisite Unit</w:t>
      </w:r>
    </w:p>
    <w:p w:rsidR="00000000" w:rsidRPr="0029757C" w:rsidP="00114A1B">
      <w:pPr>
        <w:pStyle w:val="BodyText"/>
      </w:pPr>
      <w:r w:rsidRPr="0029757C">
        <w:t>Prerequisi</w:t>
      </w:r>
      <w:r w:rsidRPr="0029757C">
        <w:t>te unit of competency for this unit is:</w:t>
      </w:r>
    </w:p>
    <w:p w:rsidR="00000000" w:rsidRPr="0029757C" w:rsidP="0029757C">
      <w:pPr>
        <w:pStyle w:val="ListBullet"/>
      </w:pPr>
      <w:r w:rsidRPr="0029757C">
        <w:t>FBPTEC4007 Describe and analyse data using mathematical principles.</w:t>
      </w:r>
    </w:p>
    <w:p w:rsidR="00000000" w:rsidRPr="0029757C" w:rsidP="0029757C">
      <w:pPr>
        <w:pStyle w:val="AllowPageBreak"/>
      </w:pPr>
    </w:p>
    <w:p w:rsidR="00000000" w:rsidRPr="0029757C" w:rsidP="0029757C">
      <w:pPr>
        <w:pStyle w:val="Heading1"/>
      </w:pPr>
      <w:bookmarkStart w:id="4" w:name="O_998107"/>
      <w:bookmarkEnd w:id="4"/>
      <w:r w:rsidRPr="0029757C">
        <w:t>Unit Sector</w:t>
      </w:r>
    </w:p>
    <w:p w:rsidR="00000000" w:rsidRPr="0029757C" w:rsidP="00114A1B">
      <w:pPr>
        <w:pStyle w:val="BodyText"/>
      </w:pPr>
      <w:r w:rsidRPr="0029757C">
        <w:t>Technical (TEC)</w:t>
      </w:r>
    </w:p>
    <w:p w:rsidR="00000000" w:rsidRPr="0029757C" w:rsidP="0029757C">
      <w:pPr>
        <w:pStyle w:val="Heading1"/>
      </w:pPr>
      <w:bookmarkStart w:id="5" w:name="O_998108"/>
      <w:bookmarkEnd w:id="5"/>
      <w:r w:rsidRPr="0029757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14A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57C" w:rsidP="0029757C">
            <w:pPr>
              <w:pStyle w:val="BodyText"/>
            </w:pPr>
            <w:r w:rsidRPr="0029757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7C">
            <w:pPr>
              <w:pStyle w:val="BodyText"/>
              <w:rPr>
                <w:lang w:val="en-NZ"/>
              </w:rPr>
            </w:pPr>
            <w:r w:rsidRPr="0029757C">
              <w:rPr>
                <w:rStyle w:val="SpecialBold"/>
              </w:rPr>
              <w:t>Performance Criteria</w:t>
            </w:r>
          </w:p>
        </w:tc>
      </w:tr>
      <w:tr w:rsidTr="00114A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57C" w:rsidP="0029757C">
            <w:pPr>
              <w:pStyle w:val="BodyText"/>
            </w:pPr>
            <w:r w:rsidRPr="0029757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7C">
            <w:pPr>
              <w:pStyle w:val="BodyText"/>
              <w:rPr>
                <w:lang w:val="en-NZ"/>
              </w:rPr>
            </w:pPr>
            <w:r w:rsidRPr="002975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4A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7C">
            <w:pPr>
              <w:pStyle w:val="BodyText"/>
              <w:rPr>
                <w:lang w:val="en-NZ"/>
              </w:rPr>
            </w:pPr>
            <w:r w:rsidRPr="0029757C">
              <w:t>1. Prepare to conduct a capability study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57C" w:rsidP="0029757C">
            <w:pPr>
              <w:pStyle w:val="BodyText"/>
            </w:pPr>
            <w:r w:rsidRPr="0029757C">
              <w:t>1.1 Identify the scope and purpose of the process</w:t>
            </w:r>
          </w:p>
          <w:p w:rsidR="00000000" w:rsidRPr="0029757C" w:rsidP="0029757C">
            <w:pPr>
              <w:pStyle w:val="BodyText"/>
            </w:pPr>
            <w:r w:rsidRPr="0029757C">
              <w:t>1.2 Determine a representative data sample</w:t>
            </w:r>
          </w:p>
          <w:p w:rsidR="00000000" w:rsidRPr="0029757C" w:rsidP="0029757C">
            <w:pPr>
              <w:pStyle w:val="BodyText"/>
            </w:pPr>
            <w:r w:rsidRPr="0029757C">
              <w:t>1.3 Select data collection techniques</w:t>
            </w:r>
          </w:p>
          <w:p w:rsidR="00000000" w:rsidP="0029757C">
            <w:pPr>
              <w:pStyle w:val="BodyText"/>
              <w:rPr>
                <w:lang w:val="en-NZ"/>
              </w:rPr>
            </w:pPr>
            <w:r w:rsidRPr="0029757C">
              <w:t>1.4 Collect data to meet sampling requirements</w:t>
            </w:r>
          </w:p>
        </w:tc>
      </w:tr>
      <w:tr w:rsidTr="00114A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7C">
            <w:pPr>
              <w:pStyle w:val="BodyText"/>
              <w:rPr>
                <w:lang w:val="en-NZ"/>
              </w:rPr>
            </w:pPr>
            <w:r w:rsidRPr="0029757C">
              <w:t>2. Analyse data to determine process capability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57C" w:rsidP="0029757C">
            <w:pPr>
              <w:pStyle w:val="BodyText"/>
            </w:pPr>
            <w:r w:rsidRPr="0029757C">
              <w:t>2.1 Select and apply appropriate statistical analysis techniques</w:t>
            </w:r>
          </w:p>
          <w:p w:rsidR="00000000" w:rsidRPr="0029757C" w:rsidP="0029757C">
            <w:pPr>
              <w:pStyle w:val="BodyText"/>
            </w:pPr>
            <w:r w:rsidRPr="0029757C">
              <w:t>2.2 Identify p</w:t>
            </w:r>
            <w:r w:rsidRPr="0029757C">
              <w:t>rocess stability and extent of variation</w:t>
            </w:r>
          </w:p>
          <w:p w:rsidR="00000000" w:rsidRPr="0029757C" w:rsidP="0029757C">
            <w:pPr>
              <w:pStyle w:val="BodyText"/>
            </w:pPr>
            <w:r w:rsidRPr="0029757C">
              <w:t>2.3 Determine the target mean for the process</w:t>
            </w:r>
          </w:p>
          <w:p w:rsidR="00000000" w:rsidRPr="0029757C" w:rsidP="0029757C">
            <w:pPr>
              <w:pStyle w:val="BodyText"/>
            </w:pPr>
            <w:r w:rsidRPr="0029757C">
              <w:t>2.4 Calculate process control parameters</w:t>
            </w:r>
          </w:p>
          <w:p w:rsidR="00000000" w:rsidRPr="0029757C" w:rsidP="0029757C">
            <w:pPr>
              <w:pStyle w:val="BodyText"/>
            </w:pPr>
            <w:r w:rsidRPr="0029757C">
              <w:t>2.5 Specify related data sampling requirements</w:t>
            </w:r>
          </w:p>
          <w:p w:rsidR="00000000" w:rsidRPr="0029757C" w:rsidP="0029757C">
            <w:pPr>
              <w:pStyle w:val="BodyText"/>
            </w:pPr>
            <w:r w:rsidRPr="0029757C">
              <w:t>2.6 Compare and analyse data sets for process performance</w:t>
            </w:r>
          </w:p>
          <w:p w:rsidR="00000000" w:rsidRPr="0029757C" w:rsidP="0029757C">
            <w:pPr>
              <w:pStyle w:val="BodyText"/>
            </w:pPr>
            <w:r w:rsidRPr="0029757C">
              <w:t>2.7 Determine process c</w:t>
            </w:r>
            <w:r w:rsidRPr="0029757C">
              <w:t>apability</w:t>
            </w:r>
          </w:p>
        </w:tc>
      </w:tr>
    </w:tbl>
    <w:p w:rsidR="00000000" w:rsidRPr="0029757C" w:rsidP="0029757C">
      <w:pPr>
        <w:pStyle w:val="BodyText"/>
      </w:pPr>
    </w:p>
    <w:p w:rsidR="00000000" w:rsidRPr="0029757C" w:rsidP="0029757C">
      <w:pPr>
        <w:pStyle w:val="AllowPageBreak"/>
      </w:pPr>
    </w:p>
    <w:p w:rsidR="00000000" w:rsidRPr="0029757C" w:rsidP="0029757C">
      <w:pPr>
        <w:pStyle w:val="Heading1"/>
      </w:pPr>
      <w:bookmarkStart w:id="6" w:name="O_998109"/>
      <w:bookmarkEnd w:id="6"/>
      <w:r w:rsidRPr="0029757C">
        <w:t>Foundation Skills</w:t>
      </w:r>
    </w:p>
    <w:p w:rsidR="00000000" w:rsidRPr="00114A1B" w:rsidP="00114A1B">
      <w:pPr>
        <w:pStyle w:val="BodyText"/>
        <w:rPr>
          <w:i/>
        </w:rPr>
      </w:pPr>
      <w:r w:rsidRPr="00114A1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975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57C" w:rsidP="0029757C">
            <w:pPr>
              <w:pStyle w:val="BodyText"/>
            </w:pPr>
            <w:r w:rsidRPr="0029757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7C">
            <w:pPr>
              <w:pStyle w:val="BodyText"/>
              <w:rPr>
                <w:lang w:val="en-NZ"/>
              </w:rPr>
            </w:pPr>
            <w:r w:rsidRPr="0029757C">
              <w:rPr>
                <w:rStyle w:val="SpecialBold"/>
              </w:rPr>
              <w:t>Description</w:t>
            </w:r>
          </w:p>
        </w:tc>
      </w:tr>
      <w:tr w:rsidTr="002975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7C">
            <w:pPr>
              <w:pStyle w:val="BodyText"/>
              <w:rPr>
                <w:lang w:val="en-NZ"/>
              </w:rPr>
            </w:pPr>
            <w:r w:rsidRPr="0029757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7C">
            <w:pPr>
              <w:pStyle w:val="ListBullet"/>
              <w:rPr>
                <w:lang w:val="en-NZ"/>
              </w:rPr>
            </w:pPr>
            <w:r w:rsidRPr="0029757C">
              <w:t>Critically analyse documentation from a variety of sources, and consolidate data for analysis</w:t>
            </w:r>
          </w:p>
        </w:tc>
      </w:tr>
      <w:tr w:rsidTr="002975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7C">
            <w:pPr>
              <w:pStyle w:val="BodyText"/>
              <w:rPr>
                <w:lang w:val="en-NZ"/>
              </w:rPr>
            </w:pPr>
            <w:r w:rsidRPr="0029757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7C">
            <w:pPr>
              <w:pStyle w:val="ListBullet"/>
              <w:rPr>
                <w:lang w:val="en-NZ"/>
              </w:rPr>
            </w:pPr>
            <w:r w:rsidRPr="0029757C">
              <w:t>Document outcomes and results of data collection and analysis using industry relevant terminology and recognised symbols</w:t>
            </w:r>
          </w:p>
        </w:tc>
      </w:tr>
      <w:tr w:rsidTr="002975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7C">
            <w:pPr>
              <w:pStyle w:val="BodyText"/>
              <w:rPr>
                <w:lang w:val="en-NZ"/>
              </w:rPr>
            </w:pPr>
            <w:r w:rsidRPr="0029757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57C" w:rsidP="0029757C">
            <w:pPr>
              <w:pStyle w:val="ListBullet"/>
            </w:pPr>
            <w:r w:rsidRPr="0029757C">
              <w:t>Perform mathematical calculations to analyse production and process information to accurately determine performance and capability</w:t>
            </w:r>
          </w:p>
        </w:tc>
      </w:tr>
    </w:tbl>
    <w:p w:rsidR="00000000" w:rsidRPr="0029757C" w:rsidP="0029757C">
      <w:pPr>
        <w:pStyle w:val="BodyText"/>
      </w:pPr>
    </w:p>
    <w:p w:rsidR="00000000" w:rsidRPr="0029757C" w:rsidP="0029757C">
      <w:pPr>
        <w:pStyle w:val="AllowPageBreak"/>
      </w:pPr>
    </w:p>
    <w:p w:rsidR="00000000" w:rsidRPr="0029757C" w:rsidP="0029757C">
      <w:pPr>
        <w:pStyle w:val="Heading1"/>
      </w:pPr>
      <w:bookmarkStart w:id="7" w:name="O_998111"/>
      <w:bookmarkEnd w:id="7"/>
      <w:r w:rsidRPr="0029757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975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57C" w:rsidP="0029757C">
            <w:pPr>
              <w:pStyle w:val="BodyText"/>
            </w:pPr>
            <w:r w:rsidRPr="0029757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57C" w:rsidP="0029757C">
            <w:pPr>
              <w:pStyle w:val="BodyText"/>
            </w:pPr>
            <w:r w:rsidRPr="0029757C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57C" w:rsidP="0029757C">
            <w:pPr>
              <w:pStyle w:val="BodyText"/>
            </w:pPr>
            <w:r w:rsidRPr="0029757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7C">
            <w:pPr>
              <w:pStyle w:val="BodyText"/>
              <w:rPr>
                <w:lang w:val="en-NZ"/>
              </w:rPr>
            </w:pPr>
            <w:r w:rsidRPr="0029757C">
              <w:rPr>
                <w:rStyle w:val="SpecialBold"/>
              </w:rPr>
              <w:t>Equivalen</w:t>
            </w:r>
            <w:r w:rsidRPr="0029757C">
              <w:rPr>
                <w:rStyle w:val="SpecialBold"/>
              </w:rPr>
              <w:t>ce status</w:t>
            </w:r>
          </w:p>
        </w:tc>
      </w:tr>
      <w:tr w:rsidTr="002975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7C">
            <w:pPr>
              <w:pStyle w:val="BodyText"/>
              <w:rPr>
                <w:lang w:val="en-NZ"/>
              </w:rPr>
            </w:pPr>
            <w:r w:rsidRPr="0029757C">
              <w:t>FBPTEC4011 Establish process capability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7C">
            <w:pPr>
              <w:pStyle w:val="BodyText"/>
              <w:rPr>
                <w:lang w:val="en-NZ"/>
              </w:rPr>
            </w:pPr>
            <w:r w:rsidRPr="0029757C">
              <w:t>FDFPPL4005A Establish process capability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57C" w:rsidP="0029757C">
            <w:pPr>
              <w:pStyle w:val="BodyText"/>
            </w:pPr>
            <w:r w:rsidRPr="0029757C">
              <w:t>Updated to meet Standards for Training Packages</w:t>
            </w:r>
          </w:p>
          <w:p w:rsidR="00000000" w:rsidRPr="0029757C" w:rsidP="0029757C">
            <w:pPr>
              <w:pStyle w:val="BodyText"/>
            </w:pPr>
          </w:p>
          <w:p w:rsidR="00000000" w:rsidRPr="0029757C" w:rsidP="0029757C">
            <w:pPr>
              <w:pStyle w:val="BodyText"/>
            </w:pPr>
            <w:r w:rsidRPr="0029757C">
              <w:t>Updated prerequisites</w:t>
            </w:r>
          </w:p>
          <w:p w:rsidR="00000000" w:rsidRPr="0029757C" w:rsidP="0029757C">
            <w:pPr>
              <w:pStyle w:val="BodyText"/>
            </w:pPr>
          </w:p>
          <w:p w:rsidR="00000000" w:rsidRPr="0029757C" w:rsidP="0029757C">
            <w:pPr>
              <w:pStyle w:val="BodyText"/>
            </w:pPr>
            <w:r w:rsidRPr="0029757C">
              <w:t>Unit code updated to reflect appropriate sector</w:t>
            </w:r>
          </w:p>
          <w:p w:rsidR="00000000" w:rsidRPr="0029757C" w:rsidP="0029757C">
            <w:pPr>
              <w:pStyle w:val="BodyText"/>
            </w:pPr>
          </w:p>
          <w:p w:rsidR="00000000" w:rsidP="0029757C">
            <w:pPr>
              <w:pStyle w:val="BodyText"/>
              <w:rPr>
                <w:lang w:val="en-NZ"/>
              </w:rPr>
            </w:pPr>
            <w:r w:rsidRPr="0029757C">
              <w:t>Minor changes to Performance Cr</w:t>
            </w:r>
            <w:r w:rsidRPr="0029757C">
              <w:t>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57C" w:rsidP="0029757C">
            <w:pPr>
              <w:pStyle w:val="BodyText"/>
            </w:pPr>
            <w:r w:rsidRPr="0029757C">
              <w:t>Equivalent unit</w:t>
            </w:r>
          </w:p>
        </w:tc>
      </w:tr>
    </w:tbl>
    <w:p w:rsidR="00000000" w:rsidRPr="0029757C" w:rsidP="0029757C">
      <w:pPr>
        <w:pStyle w:val="BodyText"/>
      </w:pPr>
    </w:p>
    <w:p w:rsidR="00000000" w:rsidRPr="0029757C" w:rsidP="0029757C">
      <w:pPr>
        <w:pStyle w:val="AllowPageBreak"/>
      </w:pPr>
    </w:p>
    <w:p w:rsidR="00000000" w:rsidRPr="0029757C" w:rsidP="0029757C">
      <w:pPr>
        <w:pStyle w:val="Heading1"/>
      </w:pPr>
      <w:bookmarkStart w:id="8" w:name="O_998118"/>
      <w:bookmarkEnd w:id="8"/>
      <w:r w:rsidRPr="0029757C">
        <w:t>Links</w:t>
      </w:r>
    </w:p>
    <w:p w:rsidR="00000000" w:rsidRPr="0029757C" w:rsidP="00114A1B">
      <w:pPr>
        <w:pStyle w:val="BodyText"/>
      </w:pPr>
      <w:r w:rsidRPr="0029757C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70A2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9757C" w:rsidP="0029757C"/>
    <w:sectPr w:rsidSect="002975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5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57C" w:rsidRPr="00114A1B" w:rsidP="00114A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5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A1B" w:rsidP="002975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4A1B" w:rsidP="002975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14A1B" w:rsidP="002975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5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A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757C" w:rsidRPr="00114A1B" w:rsidP="00114A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5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A1B" w:rsidRPr="002D2AF8" w:rsidP="002975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FBPTEC4011 Establish process capability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114A1B" w:rsidP="002975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9C30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8045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5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75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75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75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75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75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75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75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75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75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75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757C"/>
  </w:style>
  <w:style w:type="character" w:customStyle="1" w:styleId="Heading1Char">
    <w:name w:val="Heading 1 Char"/>
    <w:basedOn w:val="DefaultParagraphFont"/>
    <w:link w:val="Heading1"/>
    <w:rsid w:val="002975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75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75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757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757C"/>
    <w:rPr>
      <w:b/>
      <w:spacing w:val="0"/>
    </w:rPr>
  </w:style>
  <w:style w:type="character" w:styleId="Emphasis">
    <w:name w:val="Emphasis"/>
    <w:basedOn w:val="DefaultParagraphFont"/>
    <w:qFormat/>
    <w:rsid w:val="0029757C"/>
    <w:rPr>
      <w:i/>
    </w:rPr>
  </w:style>
  <w:style w:type="paragraph" w:customStyle="1" w:styleId="SuperHeading">
    <w:name w:val="SuperHeading"/>
    <w:basedOn w:val="Normal"/>
    <w:rsid w:val="002975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75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75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75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75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75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75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75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75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75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75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75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75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75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75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75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75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75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75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75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75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75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75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75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75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75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75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75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75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75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75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75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75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75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75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75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75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75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757C"/>
  </w:style>
  <w:style w:type="paragraph" w:styleId="TableofFigures">
    <w:name w:val="table of figures"/>
    <w:basedOn w:val="Normal"/>
    <w:next w:val="Normal"/>
    <w:semiHidden/>
    <w:rsid w:val="002975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75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757C"/>
    <w:rPr>
      <w:rFonts w:ascii="Wingdings" w:hAnsi="Wingdings"/>
    </w:rPr>
  </w:style>
  <w:style w:type="paragraph" w:customStyle="1" w:styleId="TableHeading">
    <w:name w:val="Table Heading"/>
    <w:basedOn w:val="HeadingBase"/>
    <w:rsid w:val="002975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757C"/>
    <w:rPr>
      <w:color w:val="0033CC"/>
      <w:u w:val="none"/>
    </w:rPr>
  </w:style>
  <w:style w:type="paragraph" w:customStyle="1" w:styleId="BodyTextRight">
    <w:name w:val="Body Text Right"/>
    <w:basedOn w:val="BodyText"/>
    <w:rsid w:val="002975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75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75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75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75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75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757C"/>
    <w:rPr>
      <w:sz w:val="32"/>
    </w:rPr>
  </w:style>
  <w:style w:type="paragraph" w:customStyle="1" w:styleId="HeadingProcedure">
    <w:name w:val="Heading Procedure"/>
    <w:basedOn w:val="HeadingBase"/>
    <w:next w:val="Normal"/>
    <w:rsid w:val="002975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757C"/>
    <w:pPr>
      <w:spacing w:before="60" w:after="60"/>
    </w:pPr>
  </w:style>
  <w:style w:type="paragraph" w:styleId="ListContinue">
    <w:name w:val="List Continue"/>
    <w:basedOn w:val="List"/>
    <w:rsid w:val="0029757C"/>
    <w:pPr>
      <w:ind w:firstLine="0"/>
    </w:pPr>
  </w:style>
  <w:style w:type="paragraph" w:customStyle="1" w:styleId="ListNote">
    <w:name w:val="List Note"/>
    <w:basedOn w:val="List"/>
    <w:rsid w:val="002975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75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75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757C"/>
    <w:rPr>
      <w:rFonts w:ascii="Courier New" w:hAnsi="Courier New"/>
    </w:rPr>
  </w:style>
  <w:style w:type="paragraph" w:customStyle="1" w:styleId="NoteBullet">
    <w:name w:val="Note Bullet"/>
    <w:basedOn w:val="Note"/>
    <w:rsid w:val="002975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75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75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75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75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75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75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757C"/>
    <w:rPr>
      <w:b/>
      <w:smallCaps/>
    </w:rPr>
  </w:style>
  <w:style w:type="paragraph" w:customStyle="1" w:styleId="TableListNumber">
    <w:name w:val="Table List Number"/>
    <w:basedOn w:val="ListNumber"/>
    <w:rsid w:val="002975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75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757C"/>
    <w:pPr>
      <w:numPr>
        <w:numId w:val="8"/>
      </w:numPr>
    </w:pPr>
  </w:style>
  <w:style w:type="paragraph" w:customStyle="1" w:styleId="ListAlpha2">
    <w:name w:val="List Alpha 2"/>
    <w:basedOn w:val="List2"/>
    <w:rsid w:val="0029757C"/>
    <w:pPr>
      <w:numPr>
        <w:numId w:val="7"/>
      </w:numPr>
    </w:pPr>
  </w:style>
  <w:style w:type="paragraph" w:styleId="List2">
    <w:name w:val="List 2"/>
    <w:basedOn w:val="BodyText"/>
    <w:rsid w:val="002975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75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75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75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75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75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757C"/>
    <w:pPr>
      <w:numPr>
        <w:numId w:val="3"/>
      </w:numPr>
    </w:pPr>
  </w:style>
  <w:style w:type="paragraph" w:styleId="ListContinue2">
    <w:name w:val="List Continue 2"/>
    <w:basedOn w:val="List2"/>
    <w:rsid w:val="0029757C"/>
    <w:pPr>
      <w:ind w:firstLine="0"/>
    </w:pPr>
  </w:style>
  <w:style w:type="paragraph" w:styleId="ListContinue3">
    <w:name w:val="List Continue 3"/>
    <w:basedOn w:val="List3"/>
    <w:rsid w:val="0029757C"/>
    <w:pPr>
      <w:ind w:left="1021" w:firstLine="0"/>
    </w:pPr>
  </w:style>
  <w:style w:type="paragraph" w:styleId="ListContinue4">
    <w:name w:val="List Continue 4"/>
    <w:basedOn w:val="List4"/>
    <w:rsid w:val="0029757C"/>
    <w:pPr>
      <w:ind w:firstLine="0"/>
    </w:pPr>
  </w:style>
  <w:style w:type="paragraph" w:styleId="ListContinue5">
    <w:name w:val="List Continue 5"/>
    <w:basedOn w:val="List5"/>
    <w:rsid w:val="0029757C"/>
    <w:pPr>
      <w:ind w:firstLine="0"/>
    </w:pPr>
  </w:style>
  <w:style w:type="paragraph" w:styleId="ListNumber3">
    <w:name w:val="List Number 3"/>
    <w:basedOn w:val="List3"/>
    <w:rsid w:val="0029757C"/>
    <w:pPr>
      <w:numPr>
        <w:numId w:val="4"/>
      </w:numPr>
    </w:pPr>
  </w:style>
  <w:style w:type="paragraph" w:styleId="ListNumber4">
    <w:name w:val="List Number 4"/>
    <w:basedOn w:val="List4"/>
    <w:rsid w:val="0029757C"/>
    <w:pPr>
      <w:numPr>
        <w:numId w:val="5"/>
      </w:numPr>
    </w:pPr>
  </w:style>
  <w:style w:type="paragraph" w:styleId="ListNumber5">
    <w:name w:val="List Number 5"/>
    <w:basedOn w:val="List5"/>
    <w:rsid w:val="0029757C"/>
    <w:pPr>
      <w:numPr>
        <w:numId w:val="6"/>
      </w:numPr>
    </w:pPr>
  </w:style>
  <w:style w:type="paragraph" w:styleId="BlockText">
    <w:name w:val="Block Text"/>
    <w:basedOn w:val="Normal"/>
    <w:rsid w:val="002975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75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757C"/>
    <w:rPr>
      <w:sz w:val="16"/>
      <w:vertAlign w:val="superscript"/>
    </w:rPr>
  </w:style>
  <w:style w:type="character" w:customStyle="1" w:styleId="Symbols">
    <w:name w:val="Symbols"/>
    <w:basedOn w:val="DefaultParagraphFont"/>
    <w:rsid w:val="0029757C"/>
    <w:rPr>
      <w:rFonts w:ascii="Symbol" w:hAnsi="Symbol"/>
    </w:rPr>
  </w:style>
  <w:style w:type="character" w:customStyle="1" w:styleId="MenuOptions">
    <w:name w:val="Menu Options"/>
    <w:basedOn w:val="DefaultParagraphFont"/>
    <w:rsid w:val="002975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757C"/>
    <w:rPr>
      <w:b/>
    </w:rPr>
  </w:style>
  <w:style w:type="character" w:customStyle="1" w:styleId="Underlined">
    <w:name w:val="Underlined"/>
    <w:basedOn w:val="DefaultParagraphFont"/>
    <w:rsid w:val="0029757C"/>
    <w:rPr>
      <w:u w:val="single"/>
    </w:rPr>
  </w:style>
  <w:style w:type="paragraph" w:customStyle="1" w:styleId="TableBodyTextRight">
    <w:name w:val="Table Body Text Right"/>
    <w:basedOn w:val="TableBodyText"/>
    <w:rsid w:val="002975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757C"/>
    <w:rPr>
      <w:sz w:val="18"/>
    </w:rPr>
  </w:style>
  <w:style w:type="paragraph" w:customStyle="1" w:styleId="BodySmallRight">
    <w:name w:val="Body Small Right"/>
    <w:basedOn w:val="BodyTextRight"/>
    <w:rsid w:val="0029757C"/>
    <w:rPr>
      <w:sz w:val="18"/>
      <w:szCs w:val="18"/>
    </w:rPr>
  </w:style>
  <w:style w:type="paragraph" w:customStyle="1" w:styleId="MarginEdition">
    <w:name w:val="Margin Edition"/>
    <w:basedOn w:val="MarginNote"/>
    <w:rsid w:val="002975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757C"/>
    <w:rPr>
      <w:sz w:val="2"/>
      <w:szCs w:val="2"/>
    </w:rPr>
  </w:style>
  <w:style w:type="character" w:customStyle="1" w:styleId="Small">
    <w:name w:val="Small"/>
    <w:basedOn w:val="DefaultParagraphFont"/>
    <w:rsid w:val="0029757C"/>
    <w:rPr>
      <w:sz w:val="16"/>
    </w:rPr>
  </w:style>
  <w:style w:type="paragraph" w:customStyle="1" w:styleId="WideTable">
    <w:name w:val="Wide Table"/>
    <w:basedOn w:val="Normal"/>
    <w:rsid w:val="002975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757C"/>
  </w:style>
  <w:style w:type="paragraph" w:styleId="Quote">
    <w:name w:val="Quote"/>
    <w:basedOn w:val="Heading1"/>
    <w:link w:val="QuoteChar"/>
    <w:qFormat/>
    <w:rsid w:val="002975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75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757C"/>
    <w:pPr>
      <w:pageBreakBefore/>
    </w:pPr>
  </w:style>
  <w:style w:type="paragraph" w:customStyle="1" w:styleId="Border">
    <w:name w:val="Border"/>
    <w:basedOn w:val="Normal"/>
    <w:qFormat/>
    <w:rsid w:val="002975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75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5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5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75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75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75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75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75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757C"/>
    <w:rPr>
      <w:u w:val="single"/>
    </w:rPr>
  </w:style>
  <w:style w:type="character" w:customStyle="1" w:styleId="BoldandItalics">
    <w:name w:val="Bold and Italics"/>
    <w:qFormat/>
    <w:rsid w:val="0029757C"/>
    <w:rPr>
      <w:b/>
      <w:i/>
      <w:u w:val="none"/>
    </w:rPr>
  </w:style>
  <w:style w:type="paragraph" w:styleId="BalloonText">
    <w:name w:val="Balloon Text"/>
    <w:basedOn w:val="Normal"/>
    <w:link w:val="BalloonTextChar"/>
    <w:rsid w:val="002975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75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75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75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75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75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757C"/>
    <w:pPr>
      <w:spacing w:before="0" w:after="0"/>
    </w:pPr>
  </w:style>
  <w:style w:type="paragraph" w:customStyle="1" w:styleId="BodyTextBold">
    <w:name w:val="Body Text Bold"/>
    <w:basedOn w:val="BodyText"/>
    <w:qFormat/>
    <w:rsid w:val="0029757C"/>
    <w:rPr>
      <w:b/>
    </w:rPr>
  </w:style>
  <w:style w:type="character" w:styleId="Hyperlink">
    <w:name w:val="Hyperlink"/>
    <w:basedOn w:val="DefaultParagraphFont"/>
    <w:uiPriority w:val="99"/>
    <w:unhideWhenUsed/>
    <w:rsid w:val="00114A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407</Words>
  <Characters>2693</Characters>
  <Application>Microsoft Office Word</Application>
  <DocSecurity>0</DocSecurity>
  <Lines>112</Lines>
  <Paragraphs>72</Paragraphs>
  <ScaleCrop>false</ScaleCrop>
  <Company>Author-it Software Corporation Ltd.</Company>
  <LinksUpToDate>false</LinksUpToDate>
  <CharactersWithSpaces>3028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FBPTEC4011 Establish process capability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2023-01-25T13:57:00Z</dcterms:created>
  <dcterms:modified xsi:type="dcterms:W3CDTF">2023-01-25T13:57:00Z</dcterms:modified>
</cp:coreProperties>
</file>