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248" w:rsidP="001A52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FBPTEC4001 Determine handling processes for perishable food items</w:t>
      </w:r>
      <w:r>
        <w:fldChar w:fldCharType="end"/>
      </w:r>
    </w:p>
    <w:p w:rsidR="001A5248" w:rsidP="001A5248">
      <w:pPr>
        <w:pStyle w:val="Version"/>
        <w:sectPr w:rsidSect="004C4F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FD0" w:rsidP="004C4FD0">
      <w:pPr>
        <w:pStyle w:val="SuperHeading"/>
      </w:pPr>
      <w:r w:rsidRPr="004C4FD0">
        <w:t>Assessment Requirements for FBPTEC4001 Determine handling processes for perishable food items</w:t>
      </w:r>
    </w:p>
    <w:p w:rsidR="00000000" w:rsidRPr="004C4FD0" w:rsidP="004C4FD0">
      <w:pPr>
        <w:pStyle w:val="Heading1"/>
      </w:pPr>
      <w:bookmarkStart w:id="1" w:name="O_997928"/>
      <w:bookmarkEnd w:id="1"/>
      <w:r w:rsidRPr="004C4F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4C4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D0" w:rsidP="004C4FD0">
            <w:pPr>
              <w:pStyle w:val="BodyText"/>
            </w:pPr>
            <w:r w:rsidRPr="004C4FD0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D0">
            <w:pPr>
              <w:pStyle w:val="BodyText"/>
              <w:rPr>
                <w:lang w:val="en-NZ"/>
              </w:rPr>
            </w:pPr>
            <w:r w:rsidRPr="004C4FD0">
              <w:rPr>
                <w:rStyle w:val="SpecialBold"/>
              </w:rPr>
              <w:t>Comments</w:t>
            </w:r>
          </w:p>
        </w:tc>
      </w:tr>
      <w:tr w:rsidTr="004C4F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FD0">
            <w:pPr>
              <w:pStyle w:val="BodyText"/>
              <w:rPr>
                <w:lang w:val="en-NZ"/>
              </w:rPr>
            </w:pPr>
            <w:r w:rsidRPr="004C4FD0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FD0" w:rsidP="004C4FD0">
            <w:pPr>
              <w:pStyle w:val="BodyText"/>
            </w:pPr>
            <w:r w:rsidRPr="004C4FD0">
              <w:t>This version released with the FBP Food, Beverage and Pharmaceutical Training Package Version 2.0.</w:t>
            </w:r>
          </w:p>
        </w:tc>
      </w:tr>
    </w:tbl>
    <w:p w:rsidR="00000000" w:rsidRPr="004C4FD0" w:rsidP="004C4FD0">
      <w:pPr>
        <w:pStyle w:val="BodyText"/>
      </w:pPr>
    </w:p>
    <w:p w:rsidR="00000000" w:rsidRPr="004C4FD0" w:rsidP="004C4FD0">
      <w:pPr>
        <w:pStyle w:val="AllowPageBreak"/>
      </w:pPr>
    </w:p>
    <w:p w:rsidR="00000000" w:rsidRPr="004C4FD0" w:rsidP="004C4FD0">
      <w:pPr>
        <w:pStyle w:val="Heading1"/>
      </w:pPr>
      <w:bookmarkStart w:id="2" w:name="O_997929"/>
      <w:bookmarkEnd w:id="2"/>
      <w:r w:rsidRPr="004C4FD0">
        <w:t>Performance Evidence</w:t>
      </w:r>
    </w:p>
    <w:p w:rsidR="00000000" w:rsidRPr="004C4FD0" w:rsidP="001A5248">
      <w:pPr>
        <w:pStyle w:val="BodyText"/>
      </w:pPr>
      <w:r w:rsidRPr="004C4FD0">
        <w:t>An individual demonstrating competency in this unit must satisfy all of the elements and performance criteria of this</w:t>
      </w:r>
      <w:r w:rsidRPr="004C4FD0">
        <w:t xml:space="preserve"> unit. </w:t>
      </w:r>
    </w:p>
    <w:p w:rsidR="00000000" w:rsidRPr="004C4FD0" w:rsidP="001A5248">
      <w:pPr>
        <w:pStyle w:val="BodyText"/>
      </w:pPr>
      <w:r w:rsidRPr="004C4FD0">
        <w:t xml:space="preserve">There must be evidence that the individual has determined effective food handling processes for at least two different types of perishable food, including: </w:t>
      </w:r>
    </w:p>
    <w:p w:rsidR="00000000" w:rsidRPr="004C4FD0" w:rsidP="004C4FD0">
      <w:pPr>
        <w:pStyle w:val="ListBullet"/>
      </w:pPr>
      <w:r w:rsidRPr="004C4FD0">
        <w:t>analysing packing, handling and storage requirements for perishable food product</w:t>
      </w:r>
    </w:p>
    <w:p w:rsidR="00000000" w:rsidRPr="004C4FD0" w:rsidP="004C4FD0">
      <w:pPr>
        <w:pStyle w:val="ListBullet"/>
      </w:pPr>
      <w:r w:rsidRPr="004C4FD0">
        <w:t>specifyi</w:t>
      </w:r>
      <w:r w:rsidRPr="004C4FD0">
        <w:t>ng processes and equipment to achieve quality outcomes that comply with relevant food standards regulations</w:t>
      </w:r>
    </w:p>
    <w:p w:rsidR="00000000" w:rsidRPr="004C4FD0" w:rsidP="004C4FD0">
      <w:pPr>
        <w:pStyle w:val="ListBullet"/>
      </w:pPr>
      <w:r w:rsidRPr="004C4FD0">
        <w:t xml:space="preserve">analysing and confirming safety aspects of food handling processes and handling and storage equipment </w:t>
      </w:r>
    </w:p>
    <w:p w:rsidR="00000000" w:rsidRPr="004C4FD0" w:rsidP="004C4FD0">
      <w:pPr>
        <w:pStyle w:val="ListBullet"/>
      </w:pPr>
      <w:r w:rsidRPr="004C4FD0">
        <w:t xml:space="preserve">analysing non-conformances, problems and determined probable cause </w:t>
      </w:r>
    </w:p>
    <w:p w:rsidR="00000000" w:rsidRPr="004C4FD0" w:rsidP="004C4FD0">
      <w:pPr>
        <w:pStyle w:val="ListBullet"/>
      </w:pPr>
      <w:r w:rsidRPr="004C4FD0">
        <w:t>proposing improvements to handling and/or storage.</w:t>
      </w:r>
    </w:p>
    <w:p w:rsidR="00000000" w:rsidRPr="004C4FD0" w:rsidP="004C4FD0">
      <w:pPr>
        <w:pStyle w:val="AllowPageBreak"/>
      </w:pPr>
    </w:p>
    <w:p w:rsidR="00000000" w:rsidRPr="004C4FD0" w:rsidP="004C4FD0">
      <w:pPr>
        <w:pStyle w:val="Heading1"/>
      </w:pPr>
      <w:bookmarkStart w:id="3" w:name="O_997930"/>
      <w:bookmarkEnd w:id="3"/>
      <w:r w:rsidRPr="004C4FD0">
        <w:t>Knowledge Evidence</w:t>
      </w:r>
    </w:p>
    <w:p w:rsidR="00000000" w:rsidRPr="004C4FD0" w:rsidP="001A5248">
      <w:pPr>
        <w:pStyle w:val="BodyText"/>
      </w:pPr>
      <w:r w:rsidRPr="004C4FD0">
        <w:t>An individual must be able to demonstrate the knowledge required to perform the tasks outlined in the</w:t>
      </w:r>
      <w:r w:rsidRPr="004C4FD0">
        <w:t xml:space="preserve"> elements and performance criteria of this unit. This includes knowledge of:</w:t>
      </w:r>
    </w:p>
    <w:p w:rsidR="00000000" w:rsidRPr="004C4FD0" w:rsidP="004C4FD0">
      <w:pPr>
        <w:pStyle w:val="ListBullet"/>
      </w:pPr>
      <w:r w:rsidRPr="004C4FD0">
        <w:t>the properties of packing processes designed to protect perishable products and extend their shelf-life</w:t>
      </w:r>
    </w:p>
    <w:p w:rsidR="00000000" w:rsidRPr="004C4FD0" w:rsidP="004C4FD0">
      <w:pPr>
        <w:pStyle w:val="ListBullet"/>
      </w:pPr>
      <w:r w:rsidRPr="004C4FD0">
        <w:t>regulations, codes of practice and legislative requirements, including loc</w:t>
      </w:r>
      <w:r w:rsidRPr="004C4FD0">
        <w:t>al and international regulations, relevant to handling and storing perishable food products</w:t>
      </w:r>
    </w:p>
    <w:p w:rsidR="00000000" w:rsidRPr="004C4FD0" w:rsidP="004C4FD0">
      <w:pPr>
        <w:pStyle w:val="ListBullet"/>
      </w:pPr>
      <w:r w:rsidRPr="004C4FD0">
        <w:t>Food Standards Code</w:t>
      </w:r>
    </w:p>
    <w:p w:rsidR="00000000" w:rsidRPr="004C4FD0" w:rsidP="004C4FD0">
      <w:pPr>
        <w:pStyle w:val="ListBullet"/>
      </w:pPr>
      <w:r w:rsidRPr="004C4FD0">
        <w:t>work health and safety (WHS) and environmental protection procedures and regulations</w:t>
      </w:r>
    </w:p>
    <w:p w:rsidR="00000000" w:rsidRPr="004C4FD0" w:rsidP="004C4FD0">
      <w:pPr>
        <w:pStyle w:val="ListBullet"/>
      </w:pPr>
      <w:r w:rsidRPr="004C4FD0">
        <w:t>workplace procedures for planning and managing the handling</w:t>
      </w:r>
      <w:r w:rsidRPr="004C4FD0">
        <w:t xml:space="preserve"> and storage of perishable food products</w:t>
      </w:r>
    </w:p>
    <w:p w:rsidR="00000000" w:rsidRPr="004C4FD0" w:rsidP="004C4FD0">
      <w:pPr>
        <w:pStyle w:val="ListBullet"/>
      </w:pPr>
      <w:r w:rsidRPr="004C4FD0">
        <w:t>problems that may occur while planning and managing the handling and storage of perishable food products, and action that can be taken to resolve or report the problems</w:t>
      </w:r>
    </w:p>
    <w:p w:rsidR="00000000" w:rsidRPr="004C4FD0" w:rsidP="004C4FD0">
      <w:pPr>
        <w:pStyle w:val="ListBullet"/>
      </w:pPr>
      <w:r w:rsidRPr="004C4FD0">
        <w:t>risks and hazards related to handling and stor</w:t>
      </w:r>
      <w:r w:rsidRPr="004C4FD0">
        <w:t>ing perishable food products, and methods for controlling them</w:t>
      </w:r>
    </w:p>
    <w:p w:rsidR="00000000" w:rsidRPr="004C4FD0" w:rsidP="004C4FD0">
      <w:pPr>
        <w:pStyle w:val="ListBullet"/>
      </w:pPr>
      <w:r w:rsidRPr="004C4FD0">
        <w:t>costs of equipment and facilities for handling and storing perishable food products</w:t>
      </w:r>
    </w:p>
    <w:p w:rsidR="00000000" w:rsidRPr="004C4FD0" w:rsidP="004C4FD0">
      <w:pPr>
        <w:pStyle w:val="ListBullet"/>
      </w:pPr>
      <w:r w:rsidRPr="004C4FD0">
        <w:t>pathogens and spoilage that can occur in perishable foods and the conditions required for these to occur</w:t>
      </w:r>
    </w:p>
    <w:p w:rsidR="00000000" w:rsidRPr="004C4FD0" w:rsidP="004C4FD0">
      <w:pPr>
        <w:pStyle w:val="ListBullet"/>
      </w:pPr>
      <w:r w:rsidRPr="004C4FD0">
        <w:t>feat</w:t>
      </w:r>
      <w:r w:rsidRPr="004C4FD0">
        <w:t>ures intrinsic to food type, including pH, water activity, nutrient content, presence of microbiological compounds, respiration rate and biological structure</w:t>
      </w:r>
    </w:p>
    <w:p w:rsidR="00000000" w:rsidRPr="004C4FD0" w:rsidP="004C4FD0">
      <w:pPr>
        <w:pStyle w:val="ListBullet"/>
      </w:pPr>
      <w:r w:rsidRPr="004C4FD0">
        <w:t>the impact of extrinsic factors on perishable food products, including:</w:t>
      </w:r>
    </w:p>
    <w:p w:rsidR="00000000" w:rsidRPr="004C4FD0" w:rsidP="004C4FD0">
      <w:pPr>
        <w:pStyle w:val="ListBullet2"/>
      </w:pPr>
      <w:r w:rsidRPr="004C4FD0">
        <w:t>temperature</w:t>
      </w:r>
    </w:p>
    <w:p w:rsidR="00000000" w:rsidRPr="004C4FD0" w:rsidP="004C4FD0">
      <w:pPr>
        <w:pStyle w:val="ListBullet2"/>
      </w:pPr>
      <w:r w:rsidRPr="004C4FD0">
        <w:t>water loss</w:t>
      </w:r>
    </w:p>
    <w:p w:rsidR="00000000" w:rsidRPr="004C4FD0" w:rsidP="004C4FD0">
      <w:pPr>
        <w:pStyle w:val="ListBullet2"/>
      </w:pPr>
      <w:r w:rsidRPr="004C4FD0">
        <w:t>humidity</w:t>
      </w:r>
    </w:p>
    <w:p w:rsidR="00000000" w:rsidRPr="004C4FD0" w:rsidP="004C4FD0">
      <w:pPr>
        <w:pStyle w:val="ListBullet2"/>
      </w:pPr>
      <w:r w:rsidRPr="004C4FD0">
        <w:t>maturity (applies to maturity of fruit and vegetables when harvested)</w:t>
      </w:r>
    </w:p>
    <w:p w:rsidR="00000000" w:rsidRPr="004C4FD0" w:rsidP="004C4FD0">
      <w:pPr>
        <w:pStyle w:val="ListBullet2"/>
      </w:pPr>
      <w:r w:rsidRPr="004C4FD0">
        <w:t>handling</w:t>
      </w:r>
    </w:p>
    <w:p w:rsidR="00000000" w:rsidRPr="004C4FD0" w:rsidP="004C4FD0">
      <w:pPr>
        <w:pStyle w:val="ListBullet2"/>
      </w:pPr>
      <w:r w:rsidRPr="004C4FD0">
        <w:t>cleaning</w:t>
      </w:r>
    </w:p>
    <w:p w:rsidR="00000000" w:rsidRPr="004C4FD0" w:rsidP="004C4FD0">
      <w:pPr>
        <w:pStyle w:val="ListBullet2"/>
      </w:pPr>
      <w:r w:rsidRPr="004C4FD0">
        <w:t>sanitation</w:t>
      </w:r>
    </w:p>
    <w:p w:rsidR="00000000" w:rsidRPr="004C4FD0" w:rsidP="004C4FD0">
      <w:pPr>
        <w:pStyle w:val="ListBullet2"/>
      </w:pPr>
      <w:r w:rsidRPr="004C4FD0">
        <w:t>personal hygiene practices</w:t>
      </w:r>
    </w:p>
    <w:p w:rsidR="00000000" w:rsidRPr="004C4FD0" w:rsidP="004C4FD0">
      <w:pPr>
        <w:pStyle w:val="ListBullet2"/>
      </w:pPr>
      <w:r w:rsidRPr="004C4FD0">
        <w:t>gaseous composition of the storage atmosphere</w:t>
      </w:r>
    </w:p>
    <w:p w:rsidR="00000000" w:rsidRPr="004C4FD0" w:rsidP="004C4FD0">
      <w:pPr>
        <w:pStyle w:val="ListBullet"/>
      </w:pPr>
      <w:r w:rsidRPr="004C4FD0">
        <w:t>food spoilage indicators, including:</w:t>
      </w:r>
    </w:p>
    <w:p w:rsidR="00000000" w:rsidRPr="004C4FD0" w:rsidP="004C4FD0">
      <w:pPr>
        <w:pStyle w:val="ListBullet2"/>
      </w:pPr>
      <w:r w:rsidRPr="004C4FD0">
        <w:t>microbial contamination</w:t>
      </w:r>
    </w:p>
    <w:p w:rsidR="00000000" w:rsidRPr="004C4FD0" w:rsidP="004C4FD0">
      <w:pPr>
        <w:pStyle w:val="ListBullet2"/>
      </w:pPr>
      <w:r w:rsidRPr="004C4FD0">
        <w:t>enzymic brow</w:t>
      </w:r>
      <w:r w:rsidRPr="004C4FD0">
        <w:t>ning</w:t>
      </w:r>
    </w:p>
    <w:p w:rsidR="00000000" w:rsidRPr="004C4FD0" w:rsidP="004C4FD0">
      <w:pPr>
        <w:pStyle w:val="ListBullet2"/>
      </w:pPr>
      <w:r w:rsidRPr="004C4FD0">
        <w:t>sensory degradation of characteristics, including flavour, aroma, colour and texture</w:t>
      </w:r>
    </w:p>
    <w:p w:rsidR="00000000" w:rsidRPr="004C4FD0" w:rsidP="004C4FD0">
      <w:pPr>
        <w:pStyle w:val="ListBullet"/>
      </w:pPr>
      <w:r w:rsidRPr="004C4FD0">
        <w:t>factors that influence selection of packing and storage processes, including:</w:t>
      </w:r>
    </w:p>
    <w:p w:rsidR="00000000" w:rsidRPr="004C4FD0" w:rsidP="004C4FD0">
      <w:pPr>
        <w:pStyle w:val="ListBullet2"/>
      </w:pPr>
      <w:r w:rsidRPr="004C4FD0">
        <w:t>suitability for use with food products to be packaged</w:t>
      </w:r>
    </w:p>
    <w:p w:rsidR="00000000" w:rsidRPr="004C4FD0" w:rsidP="004C4FD0">
      <w:pPr>
        <w:pStyle w:val="ListBullet2"/>
      </w:pPr>
      <w:r w:rsidRPr="004C4FD0">
        <w:t>compatibility with packing techn</w:t>
      </w:r>
      <w:r w:rsidRPr="004C4FD0">
        <w:t>ology</w:t>
      </w:r>
    </w:p>
    <w:p w:rsidR="00000000" w:rsidRPr="004C4FD0" w:rsidP="004C4FD0">
      <w:pPr>
        <w:pStyle w:val="ListBullet2"/>
      </w:pPr>
      <w:r w:rsidRPr="004C4FD0">
        <w:t>costs</w:t>
      </w:r>
    </w:p>
    <w:p w:rsidR="00000000" w:rsidRPr="004C4FD0" w:rsidP="004C4FD0">
      <w:pPr>
        <w:pStyle w:val="ListBullet2"/>
      </w:pPr>
      <w:r w:rsidRPr="004C4FD0">
        <w:t>environmental features</w:t>
      </w:r>
    </w:p>
    <w:p w:rsidR="00000000" w:rsidRPr="004C4FD0" w:rsidP="004C4FD0">
      <w:pPr>
        <w:pStyle w:val="ListBullet2"/>
      </w:pPr>
      <w:r w:rsidRPr="004C4FD0">
        <w:t>consumer safety</w:t>
      </w:r>
    </w:p>
    <w:p w:rsidR="00000000" w:rsidRPr="004C4FD0" w:rsidP="004C4FD0">
      <w:pPr>
        <w:pStyle w:val="ListBullet2"/>
      </w:pPr>
      <w:r w:rsidRPr="004C4FD0">
        <w:t>tamper evidence</w:t>
      </w:r>
    </w:p>
    <w:p w:rsidR="00000000" w:rsidRPr="004C4FD0" w:rsidP="004C4FD0">
      <w:pPr>
        <w:pStyle w:val="ListBullet"/>
      </w:pPr>
      <w:r w:rsidRPr="004C4FD0">
        <w:t>characteristics of products and their behaviour when packed, handled and stored over the shelf-life of the product</w:t>
      </w:r>
    </w:p>
    <w:p w:rsidR="00000000" w:rsidRPr="004C4FD0" w:rsidP="004C4FD0">
      <w:pPr>
        <w:pStyle w:val="ListBullet"/>
      </w:pPr>
      <w:r w:rsidRPr="004C4FD0">
        <w:t>typical problems that occur, likely causes and appropriate response options.</w:t>
      </w:r>
    </w:p>
    <w:p w:rsidR="00000000" w:rsidRPr="004C4FD0" w:rsidP="004C4FD0">
      <w:pPr>
        <w:pStyle w:val="AllowPageBreak"/>
      </w:pPr>
    </w:p>
    <w:p w:rsidR="00000000" w:rsidRPr="004C4FD0" w:rsidP="004C4FD0">
      <w:pPr>
        <w:pStyle w:val="Heading1"/>
      </w:pPr>
      <w:bookmarkStart w:id="4" w:name="O_997931"/>
      <w:bookmarkEnd w:id="4"/>
      <w:r w:rsidRPr="004C4FD0">
        <w:t>Assessment Conditions</w:t>
      </w:r>
    </w:p>
    <w:p w:rsidR="00000000" w:rsidRPr="004C4FD0" w:rsidP="001A5248">
      <w:pPr>
        <w:pStyle w:val="BodyText"/>
      </w:pPr>
      <w:r w:rsidRPr="004C4FD0">
        <w:t xml:space="preserve">Assessment of skills must take place under the following conditions: </w:t>
      </w:r>
    </w:p>
    <w:p w:rsidR="00000000" w:rsidRPr="004C4FD0" w:rsidP="004C4FD0">
      <w:pPr>
        <w:pStyle w:val="ListBullet"/>
      </w:pPr>
      <w:r w:rsidRPr="004C4FD0">
        <w:t>physical conditions:</w:t>
      </w:r>
    </w:p>
    <w:p w:rsidR="00000000" w:rsidRPr="004C4FD0" w:rsidP="004C4FD0">
      <w:pPr>
        <w:pStyle w:val="ListBullet2"/>
      </w:pPr>
      <w:r w:rsidRPr="004C4FD0">
        <w:t>skills must be demonstrated in a workplace sett</w:t>
      </w:r>
      <w:r w:rsidRPr="004C4FD0">
        <w:t xml:space="preserve">ing or an environment that accurately represents a real workplace </w:t>
      </w:r>
    </w:p>
    <w:p w:rsidR="00000000" w:rsidRPr="004C4FD0" w:rsidP="004C4FD0">
      <w:pPr>
        <w:pStyle w:val="ListBullet"/>
      </w:pPr>
      <w:r w:rsidRPr="004C4FD0">
        <w:t>resources, equipment and materials:</w:t>
      </w:r>
    </w:p>
    <w:p w:rsidR="00000000" w:rsidRPr="004C4FD0" w:rsidP="004C4FD0">
      <w:pPr>
        <w:pStyle w:val="ListBullet2"/>
      </w:pPr>
      <w:r w:rsidRPr="004C4FD0">
        <w:t>handling, packaging and storage equipment</w:t>
      </w:r>
    </w:p>
    <w:p w:rsidR="00000000" w:rsidRPr="004C4FD0" w:rsidP="004C4FD0">
      <w:pPr>
        <w:pStyle w:val="ListBullet2"/>
      </w:pPr>
      <w:r w:rsidRPr="004C4FD0">
        <w:t>perishable product, packaging components and consumables</w:t>
      </w:r>
    </w:p>
    <w:p w:rsidR="00000000" w:rsidRPr="004C4FD0" w:rsidP="004C4FD0">
      <w:pPr>
        <w:pStyle w:val="ListBullet"/>
      </w:pPr>
      <w:r w:rsidRPr="004C4FD0">
        <w:t>specifications:</w:t>
      </w:r>
    </w:p>
    <w:p w:rsidR="00000000" w:rsidRPr="004C4FD0" w:rsidP="004C4FD0">
      <w:pPr>
        <w:pStyle w:val="ListBullet2"/>
      </w:pPr>
      <w:r w:rsidRPr="004C4FD0">
        <w:t>packaging specifications</w:t>
      </w:r>
    </w:p>
    <w:p w:rsidR="00000000" w:rsidRPr="004C4FD0" w:rsidP="004C4FD0">
      <w:pPr>
        <w:pStyle w:val="ListBullet2"/>
      </w:pPr>
      <w:r w:rsidRPr="004C4FD0">
        <w:t>workplace operating procedures for packaging, handling and storage.</w:t>
      </w:r>
    </w:p>
    <w:p w:rsidR="00000000" w:rsidRPr="004C4FD0" w:rsidP="001A5248">
      <w:pPr>
        <w:pStyle w:val="BodyText"/>
      </w:pPr>
      <w:r w:rsidRPr="004C4FD0">
        <w:t>Assessors of this unit must satisfy the requirements for assessors in applicable vocational education and training legislation, frameworks and/or standards.</w:t>
      </w:r>
    </w:p>
    <w:p w:rsidR="00000000" w:rsidRPr="004C4FD0" w:rsidP="004C4FD0">
      <w:pPr>
        <w:pStyle w:val="Heading1"/>
      </w:pPr>
      <w:bookmarkStart w:id="5" w:name="O_997934"/>
      <w:bookmarkEnd w:id="5"/>
      <w:r w:rsidRPr="004C4FD0">
        <w:t>Links</w:t>
      </w:r>
    </w:p>
    <w:p w:rsidR="00000000" w:rsidRPr="004C4FD0" w:rsidP="001A5248">
      <w:pPr>
        <w:pStyle w:val="BodyText"/>
      </w:pPr>
      <w:r w:rsidRPr="004C4FD0">
        <w:t>Companio</w:t>
      </w:r>
      <w:r w:rsidRPr="004C4FD0">
        <w:t xml:space="preserve">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24F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C4FD0" w:rsidP="004C4FD0"/>
    <w:sectPr w:rsidSect="004C4F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D0" w:rsidRPr="001A5248" w:rsidP="001A52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48" w:rsidP="004C4F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248" w:rsidP="004C4F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5248" w:rsidP="004C4F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FD0" w:rsidRPr="001A5248" w:rsidP="001A52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248" w:rsidRPr="002D2AF8" w:rsidP="004C4F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FBPTEC4001 Determine handling processes for perishable food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A5248" w:rsidP="004C4F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96A1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44C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2E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F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F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F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F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F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F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F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F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F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F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F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FD0"/>
  </w:style>
  <w:style w:type="character" w:customStyle="1" w:styleId="Heading1Char">
    <w:name w:val="Heading 1 Char"/>
    <w:basedOn w:val="DefaultParagraphFont"/>
    <w:link w:val="Heading1"/>
    <w:rsid w:val="004C4F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F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F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F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FD0"/>
    <w:rPr>
      <w:b/>
      <w:spacing w:val="0"/>
    </w:rPr>
  </w:style>
  <w:style w:type="paragraph" w:styleId="ListBullet2">
    <w:name w:val="List Bullet 2"/>
    <w:basedOn w:val="List2"/>
    <w:rsid w:val="004C4F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F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F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4F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F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F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F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F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F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F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F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F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F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F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F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F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F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F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F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F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F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F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F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F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F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F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F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F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F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F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F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F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F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FD0"/>
    <w:rPr>
      <w:i/>
    </w:rPr>
  </w:style>
  <w:style w:type="paragraph" w:styleId="Caption">
    <w:name w:val="caption"/>
    <w:basedOn w:val="BodyText"/>
    <w:next w:val="Normal"/>
    <w:qFormat/>
    <w:rsid w:val="004C4F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F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F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FD0"/>
  </w:style>
  <w:style w:type="paragraph" w:styleId="TableofFigures">
    <w:name w:val="table of figures"/>
    <w:basedOn w:val="Normal"/>
    <w:next w:val="Normal"/>
    <w:semiHidden/>
    <w:rsid w:val="004C4F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F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4FD0"/>
    <w:rPr>
      <w:rFonts w:ascii="Wingdings" w:hAnsi="Wingdings"/>
    </w:rPr>
  </w:style>
  <w:style w:type="paragraph" w:customStyle="1" w:styleId="TableHeading">
    <w:name w:val="Table Heading"/>
    <w:basedOn w:val="HeadingBase"/>
    <w:rsid w:val="004C4F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FD0"/>
    <w:rPr>
      <w:color w:val="0033CC"/>
      <w:u w:val="none"/>
    </w:rPr>
  </w:style>
  <w:style w:type="paragraph" w:customStyle="1" w:styleId="BodyTextRight">
    <w:name w:val="Body Text Right"/>
    <w:basedOn w:val="BodyText"/>
    <w:rsid w:val="004C4F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F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F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F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F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F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FD0"/>
    <w:rPr>
      <w:sz w:val="32"/>
    </w:rPr>
  </w:style>
  <w:style w:type="paragraph" w:customStyle="1" w:styleId="HeadingProcedure">
    <w:name w:val="Heading Procedure"/>
    <w:basedOn w:val="HeadingBase"/>
    <w:next w:val="Normal"/>
    <w:rsid w:val="004C4F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FD0"/>
    <w:pPr>
      <w:spacing w:before="60" w:after="60"/>
    </w:pPr>
  </w:style>
  <w:style w:type="paragraph" w:styleId="ListContinue">
    <w:name w:val="List Continue"/>
    <w:basedOn w:val="List"/>
    <w:rsid w:val="004C4FD0"/>
    <w:pPr>
      <w:ind w:firstLine="0"/>
    </w:pPr>
  </w:style>
  <w:style w:type="paragraph" w:customStyle="1" w:styleId="ListNote">
    <w:name w:val="List Note"/>
    <w:basedOn w:val="List"/>
    <w:rsid w:val="004C4F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F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F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FD0"/>
    <w:rPr>
      <w:rFonts w:ascii="Courier New" w:hAnsi="Courier New"/>
    </w:rPr>
  </w:style>
  <w:style w:type="paragraph" w:customStyle="1" w:styleId="NoteBullet">
    <w:name w:val="Note Bullet"/>
    <w:basedOn w:val="Note"/>
    <w:rsid w:val="004C4F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F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F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F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F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4F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F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FD0"/>
    <w:rPr>
      <w:b/>
      <w:smallCaps/>
    </w:rPr>
  </w:style>
  <w:style w:type="paragraph" w:customStyle="1" w:styleId="TableListNumber">
    <w:name w:val="Table List Number"/>
    <w:basedOn w:val="ListNumber"/>
    <w:rsid w:val="004C4F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F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FD0"/>
    <w:pPr>
      <w:numPr>
        <w:numId w:val="9"/>
      </w:numPr>
    </w:pPr>
  </w:style>
  <w:style w:type="paragraph" w:customStyle="1" w:styleId="ListAlpha2">
    <w:name w:val="List Alpha 2"/>
    <w:basedOn w:val="List2"/>
    <w:rsid w:val="004C4FD0"/>
    <w:pPr>
      <w:numPr>
        <w:numId w:val="8"/>
      </w:numPr>
    </w:pPr>
  </w:style>
  <w:style w:type="paragraph" w:styleId="List2">
    <w:name w:val="List 2"/>
    <w:basedOn w:val="BodyText"/>
    <w:rsid w:val="004C4F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F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F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F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4F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4F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4FD0"/>
    <w:pPr>
      <w:numPr>
        <w:numId w:val="4"/>
      </w:numPr>
    </w:pPr>
  </w:style>
  <w:style w:type="paragraph" w:styleId="ListContinue2">
    <w:name w:val="List Continue 2"/>
    <w:basedOn w:val="List2"/>
    <w:rsid w:val="004C4FD0"/>
    <w:pPr>
      <w:ind w:firstLine="0"/>
    </w:pPr>
  </w:style>
  <w:style w:type="paragraph" w:styleId="ListContinue3">
    <w:name w:val="List Continue 3"/>
    <w:basedOn w:val="List3"/>
    <w:rsid w:val="004C4FD0"/>
    <w:pPr>
      <w:ind w:left="1021" w:firstLine="0"/>
    </w:pPr>
  </w:style>
  <w:style w:type="paragraph" w:styleId="ListContinue4">
    <w:name w:val="List Continue 4"/>
    <w:basedOn w:val="List4"/>
    <w:rsid w:val="004C4FD0"/>
    <w:pPr>
      <w:ind w:firstLine="0"/>
    </w:pPr>
  </w:style>
  <w:style w:type="paragraph" w:styleId="ListContinue5">
    <w:name w:val="List Continue 5"/>
    <w:basedOn w:val="List5"/>
    <w:rsid w:val="004C4FD0"/>
    <w:pPr>
      <w:ind w:firstLine="0"/>
    </w:pPr>
  </w:style>
  <w:style w:type="paragraph" w:styleId="ListNumber3">
    <w:name w:val="List Number 3"/>
    <w:basedOn w:val="List3"/>
    <w:rsid w:val="004C4FD0"/>
    <w:pPr>
      <w:numPr>
        <w:numId w:val="5"/>
      </w:numPr>
    </w:pPr>
  </w:style>
  <w:style w:type="paragraph" w:styleId="ListNumber4">
    <w:name w:val="List Number 4"/>
    <w:basedOn w:val="List4"/>
    <w:rsid w:val="004C4FD0"/>
    <w:pPr>
      <w:numPr>
        <w:numId w:val="6"/>
      </w:numPr>
    </w:pPr>
  </w:style>
  <w:style w:type="paragraph" w:styleId="ListNumber5">
    <w:name w:val="List Number 5"/>
    <w:basedOn w:val="List5"/>
    <w:rsid w:val="004C4FD0"/>
    <w:pPr>
      <w:numPr>
        <w:numId w:val="7"/>
      </w:numPr>
    </w:pPr>
  </w:style>
  <w:style w:type="paragraph" w:styleId="BlockText">
    <w:name w:val="Block Text"/>
    <w:basedOn w:val="Normal"/>
    <w:rsid w:val="004C4F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F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FD0"/>
    <w:rPr>
      <w:sz w:val="16"/>
      <w:vertAlign w:val="superscript"/>
    </w:rPr>
  </w:style>
  <w:style w:type="character" w:customStyle="1" w:styleId="Symbols">
    <w:name w:val="Symbols"/>
    <w:basedOn w:val="DefaultParagraphFont"/>
    <w:rsid w:val="004C4FD0"/>
    <w:rPr>
      <w:rFonts w:ascii="Symbol" w:hAnsi="Symbol"/>
    </w:rPr>
  </w:style>
  <w:style w:type="character" w:customStyle="1" w:styleId="MenuOptions">
    <w:name w:val="Menu Options"/>
    <w:basedOn w:val="DefaultParagraphFont"/>
    <w:rsid w:val="004C4F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FD0"/>
    <w:rPr>
      <w:b/>
    </w:rPr>
  </w:style>
  <w:style w:type="character" w:customStyle="1" w:styleId="Underlined">
    <w:name w:val="Underlined"/>
    <w:basedOn w:val="DefaultParagraphFont"/>
    <w:rsid w:val="004C4FD0"/>
    <w:rPr>
      <w:u w:val="single"/>
    </w:rPr>
  </w:style>
  <w:style w:type="paragraph" w:customStyle="1" w:styleId="TableBodyTextRight">
    <w:name w:val="Table Body Text Right"/>
    <w:basedOn w:val="TableBodyText"/>
    <w:rsid w:val="004C4F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FD0"/>
    <w:rPr>
      <w:sz w:val="18"/>
    </w:rPr>
  </w:style>
  <w:style w:type="paragraph" w:customStyle="1" w:styleId="BodySmallRight">
    <w:name w:val="Body Small Right"/>
    <w:basedOn w:val="BodyTextRight"/>
    <w:rsid w:val="004C4FD0"/>
    <w:rPr>
      <w:sz w:val="18"/>
      <w:szCs w:val="18"/>
    </w:rPr>
  </w:style>
  <w:style w:type="paragraph" w:customStyle="1" w:styleId="MarginEdition">
    <w:name w:val="Margin Edition"/>
    <w:basedOn w:val="MarginNote"/>
    <w:rsid w:val="004C4F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FD0"/>
    <w:rPr>
      <w:sz w:val="2"/>
      <w:szCs w:val="2"/>
    </w:rPr>
  </w:style>
  <w:style w:type="character" w:customStyle="1" w:styleId="Small">
    <w:name w:val="Small"/>
    <w:basedOn w:val="DefaultParagraphFont"/>
    <w:rsid w:val="004C4FD0"/>
    <w:rPr>
      <w:sz w:val="16"/>
    </w:rPr>
  </w:style>
  <w:style w:type="paragraph" w:customStyle="1" w:styleId="WideTable">
    <w:name w:val="Wide Table"/>
    <w:basedOn w:val="Normal"/>
    <w:rsid w:val="004C4F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FD0"/>
  </w:style>
  <w:style w:type="paragraph" w:styleId="Quote">
    <w:name w:val="Quote"/>
    <w:basedOn w:val="Heading1"/>
    <w:link w:val="QuoteChar"/>
    <w:qFormat/>
    <w:rsid w:val="004C4F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F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FD0"/>
    <w:pPr>
      <w:pageBreakBefore/>
    </w:pPr>
  </w:style>
  <w:style w:type="paragraph" w:customStyle="1" w:styleId="Border">
    <w:name w:val="Border"/>
    <w:basedOn w:val="Normal"/>
    <w:qFormat/>
    <w:rsid w:val="004C4F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F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F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F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F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F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F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F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F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FD0"/>
    <w:rPr>
      <w:u w:val="single"/>
    </w:rPr>
  </w:style>
  <w:style w:type="character" w:customStyle="1" w:styleId="BoldandItalics">
    <w:name w:val="Bold and Italics"/>
    <w:qFormat/>
    <w:rsid w:val="004C4FD0"/>
    <w:rPr>
      <w:b/>
      <w:i/>
      <w:u w:val="none"/>
    </w:rPr>
  </w:style>
  <w:style w:type="paragraph" w:styleId="BalloonText">
    <w:name w:val="Balloon Text"/>
    <w:basedOn w:val="Normal"/>
    <w:link w:val="BalloonTextChar"/>
    <w:rsid w:val="004C4F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F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F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F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F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F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FD0"/>
    <w:pPr>
      <w:spacing w:before="0" w:after="0"/>
    </w:pPr>
  </w:style>
  <w:style w:type="paragraph" w:customStyle="1" w:styleId="BodyTextBold">
    <w:name w:val="Body Text Bold"/>
    <w:basedOn w:val="BodyText"/>
    <w:qFormat/>
    <w:rsid w:val="004C4FD0"/>
    <w:rPr>
      <w:b/>
    </w:rPr>
  </w:style>
  <w:style w:type="character" w:styleId="Hyperlink">
    <w:name w:val="Hyperlink"/>
    <w:basedOn w:val="DefaultParagraphFont"/>
    <w:uiPriority w:val="99"/>
    <w:unhideWhenUsed/>
    <w:rsid w:val="001A52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3648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FBPTEC4001 Determine handling processes for perishable food items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