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15C2" w:rsidP="003615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FBPTEC3004 Prepare, fill and store barrels for aging spirits</w:t>
      </w:r>
      <w:r>
        <w:fldChar w:fldCharType="end"/>
      </w:r>
    </w:p>
    <w:p w:rsidR="003615C2" w:rsidP="003615C2">
      <w:pPr>
        <w:pStyle w:val="Version"/>
        <w:sectPr w:rsidSect="00B83B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3BA6" w:rsidP="00B83BA6">
      <w:pPr>
        <w:pStyle w:val="SuperHeading"/>
      </w:pPr>
      <w:r w:rsidRPr="00B83BA6">
        <w:t>FBPTEC3004 Prepare, fill and store barrels for aging spirits</w:t>
      </w:r>
    </w:p>
    <w:p w:rsidR="00000000" w:rsidRPr="00B83BA6" w:rsidP="00B83BA6">
      <w:pPr>
        <w:pStyle w:val="Heading1"/>
      </w:pPr>
      <w:bookmarkStart w:id="1" w:name="O_1059122"/>
      <w:bookmarkEnd w:id="1"/>
      <w:r w:rsidRPr="00B83BA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83B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A6">
            <w:pPr>
              <w:pStyle w:val="BodyTextBold"/>
              <w:rPr>
                <w:lang w:val="en-NZ"/>
              </w:rPr>
            </w:pPr>
            <w:r w:rsidRPr="00B83BA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A6">
            <w:pPr>
              <w:pStyle w:val="BodyTextBold"/>
              <w:rPr>
                <w:lang w:val="en-NZ"/>
              </w:rPr>
            </w:pPr>
            <w:r w:rsidRPr="00B83BA6">
              <w:t>Comments</w:t>
            </w:r>
          </w:p>
        </w:tc>
      </w:tr>
      <w:tr w:rsidTr="00B83B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A6">
            <w:pPr>
              <w:pStyle w:val="BodyText"/>
              <w:rPr>
                <w:lang w:val="en-NZ"/>
              </w:rPr>
            </w:pPr>
            <w:r w:rsidRPr="00B83BA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BA6" w:rsidP="00B83BA6">
            <w:pPr>
              <w:pStyle w:val="BodyText"/>
            </w:pPr>
            <w:r w:rsidRPr="00B83BA6">
              <w:t>This version released with FBP Food, Beverage and Pharmaceuticals Training Package version 3.0.</w:t>
            </w:r>
          </w:p>
        </w:tc>
      </w:tr>
    </w:tbl>
    <w:p w:rsidR="00000000" w:rsidRPr="00B83BA6" w:rsidP="00B83BA6">
      <w:pPr>
        <w:pStyle w:val="BodyText"/>
      </w:pPr>
    </w:p>
    <w:p w:rsidR="00000000" w:rsidRPr="00B83BA6" w:rsidP="00B83BA6">
      <w:pPr>
        <w:pStyle w:val="AllowPageBreak"/>
      </w:pPr>
    </w:p>
    <w:p w:rsidR="00000000" w:rsidRPr="00B83BA6" w:rsidP="00B83BA6">
      <w:pPr>
        <w:pStyle w:val="Heading1"/>
      </w:pPr>
      <w:bookmarkStart w:id="2" w:name="O_1059123"/>
      <w:bookmarkEnd w:id="2"/>
      <w:r w:rsidRPr="00B83BA6">
        <w:t>Application</w:t>
      </w:r>
    </w:p>
    <w:p w:rsidR="00000000" w:rsidRPr="00B83BA6" w:rsidP="003615C2">
      <w:pPr>
        <w:pStyle w:val="BodyText"/>
      </w:pPr>
      <w:r w:rsidRPr="00B83BA6">
        <w:t>This unit of competency describes the skills and knowledge r</w:t>
      </w:r>
      <w:r w:rsidRPr="00B83BA6">
        <w:t>equired to prepare barrels for aging spirits such as whisky.</w:t>
      </w:r>
    </w:p>
    <w:p w:rsidR="00000000" w:rsidRPr="00B83BA6" w:rsidP="003615C2">
      <w:pPr>
        <w:pStyle w:val="BodyText"/>
      </w:pPr>
      <w:r w:rsidRPr="00B83BA6">
        <w:t xml:space="preserve">This unit applies to those workers who work in operational roles in a distillery. </w:t>
      </w:r>
    </w:p>
    <w:p w:rsidR="00000000" w:rsidRPr="00B83BA6" w:rsidP="003615C2">
      <w:pPr>
        <w:pStyle w:val="BodyText"/>
      </w:pPr>
      <w:r w:rsidRPr="00B83BA6">
        <w:t>No licensing, legislative or certification requirements apply to this unit at the time of publication.</w:t>
      </w:r>
    </w:p>
    <w:p w:rsidR="00000000" w:rsidRPr="00B83BA6" w:rsidP="003615C2">
      <w:pPr>
        <w:pStyle w:val="BodyText"/>
      </w:pPr>
      <w:r w:rsidRPr="00B83BA6">
        <w:t>Note: Thi</w:t>
      </w:r>
      <w:r w:rsidRPr="00B83BA6">
        <w:t xml:space="preserve">s unit does not cover working with forklifts, which requires a forklift licence. </w:t>
      </w:r>
    </w:p>
    <w:p w:rsidR="00000000" w:rsidRPr="00B83BA6" w:rsidP="00B83BA6">
      <w:pPr>
        <w:pStyle w:val="Heading1"/>
      </w:pPr>
      <w:bookmarkStart w:id="3" w:name="O_1059124"/>
      <w:bookmarkEnd w:id="3"/>
      <w:r w:rsidRPr="00B83BA6">
        <w:t>Pre-requisite Unit</w:t>
      </w:r>
    </w:p>
    <w:p w:rsidR="00000000" w:rsidRPr="00B83BA6" w:rsidP="003615C2">
      <w:pPr>
        <w:pStyle w:val="BodyText"/>
      </w:pPr>
      <w:r w:rsidRPr="00B83BA6">
        <w:t>Nil</w:t>
      </w:r>
    </w:p>
    <w:p w:rsidR="00000000" w:rsidRPr="00B83BA6" w:rsidP="00B83BA6">
      <w:pPr>
        <w:pStyle w:val="Heading1"/>
      </w:pPr>
      <w:bookmarkStart w:id="4" w:name="O_1059126"/>
      <w:bookmarkEnd w:id="4"/>
      <w:r w:rsidRPr="00B83BA6">
        <w:t>Unit Sector</w:t>
      </w:r>
    </w:p>
    <w:p w:rsidR="00000000" w:rsidRPr="00B83BA6" w:rsidP="003615C2">
      <w:pPr>
        <w:pStyle w:val="BodyText"/>
      </w:pPr>
      <w:r w:rsidRPr="00B83BA6">
        <w:t>Technical (TEC)</w:t>
      </w:r>
    </w:p>
    <w:p w:rsidR="00000000" w:rsidRPr="00B83BA6" w:rsidP="00B83BA6">
      <w:pPr>
        <w:pStyle w:val="Heading1"/>
      </w:pPr>
      <w:bookmarkStart w:id="5" w:name="O_1059127"/>
      <w:bookmarkEnd w:id="5"/>
      <w:r w:rsidRPr="00B83BA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615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A6">
            <w:pPr>
              <w:pStyle w:val="BodyTextBold"/>
              <w:rPr>
                <w:lang w:val="en-NZ"/>
              </w:rPr>
            </w:pPr>
            <w:r w:rsidRPr="00B83BA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A6">
            <w:pPr>
              <w:pStyle w:val="BodyTextBold"/>
              <w:rPr>
                <w:lang w:val="en-NZ"/>
              </w:rPr>
            </w:pPr>
            <w:r w:rsidRPr="00B83BA6">
              <w:t>Performance Criteria</w:t>
            </w:r>
          </w:p>
        </w:tc>
      </w:tr>
      <w:tr w:rsidTr="003615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BA6" w:rsidP="00B83BA6">
            <w:pPr>
              <w:pStyle w:val="BodyText"/>
            </w:pPr>
            <w:r w:rsidRPr="00B83BA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A6">
            <w:pPr>
              <w:pStyle w:val="BodyText"/>
              <w:rPr>
                <w:lang w:val="en-NZ"/>
              </w:rPr>
            </w:pPr>
            <w:r w:rsidRPr="00B83B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15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A6">
            <w:pPr>
              <w:pStyle w:val="BodyText"/>
              <w:rPr>
                <w:lang w:val="en-NZ"/>
              </w:rPr>
            </w:pPr>
            <w:r w:rsidRPr="00B83BA6">
              <w:t xml:space="preserve">1. Prepare and maintain barrel condition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BA6" w:rsidP="00B83BA6">
            <w:pPr>
              <w:pStyle w:val="BodyText"/>
            </w:pPr>
            <w:r w:rsidRPr="00B83BA6">
              <w:t>1.1 Identify standards, regulations and guidance materials that cover the r</w:t>
            </w:r>
            <w:r w:rsidRPr="00B83BA6">
              <w:t>equirements of storing flammable and explosive materials</w:t>
            </w:r>
          </w:p>
          <w:p w:rsidR="00000000" w:rsidRPr="00B83BA6" w:rsidP="00B83BA6">
            <w:pPr>
              <w:pStyle w:val="BodyText"/>
            </w:pPr>
            <w:r w:rsidRPr="00B83BA6">
              <w:t>1.2 Identify hazards associated with preparing, filling and storing barrels of spirits and manage risks</w:t>
            </w:r>
          </w:p>
          <w:p w:rsidR="00000000" w:rsidRPr="00B83BA6" w:rsidP="00B83BA6">
            <w:pPr>
              <w:pStyle w:val="BodyText"/>
            </w:pPr>
            <w:r w:rsidRPr="00B83BA6">
              <w:t>1.3 Identify features of barrel, including type of wood, toast, size and age</w:t>
            </w:r>
          </w:p>
          <w:p w:rsidR="00000000" w:rsidRPr="00B83BA6" w:rsidP="00B83BA6">
            <w:pPr>
              <w:pStyle w:val="BodyText"/>
            </w:pPr>
            <w:r w:rsidRPr="00B83BA6">
              <w:t>1.4 Check barrel w</w:t>
            </w:r>
            <w:r w:rsidRPr="00B83BA6">
              <w:t>ood for blemishes, leaks and unsavoury smells</w:t>
            </w:r>
          </w:p>
          <w:p w:rsidR="00000000" w:rsidRPr="00B83BA6" w:rsidP="00B83BA6">
            <w:pPr>
              <w:pStyle w:val="BodyText"/>
            </w:pPr>
            <w:r w:rsidRPr="00B83BA6">
              <w:t>1.5 Hydrate barrel to check for leaks</w:t>
            </w:r>
          </w:p>
          <w:p w:rsidR="00000000" w:rsidRPr="00B83BA6" w:rsidP="00B83BA6">
            <w:pPr>
              <w:pStyle w:val="BodyText"/>
            </w:pPr>
            <w:r w:rsidRPr="00B83BA6">
              <w:t xml:space="preserve">1.6 Seal wood to stop any leaks </w:t>
            </w:r>
          </w:p>
          <w:p w:rsidR="00000000" w:rsidP="00B83BA6">
            <w:pPr>
              <w:pStyle w:val="BodyText"/>
              <w:rPr>
                <w:lang w:val="en-NZ"/>
              </w:rPr>
            </w:pPr>
            <w:r w:rsidRPr="00B83BA6">
              <w:t xml:space="preserve">1.7 Check and tighten hoops where required  </w:t>
            </w:r>
          </w:p>
        </w:tc>
      </w:tr>
      <w:tr w:rsidTr="003615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A6">
            <w:pPr>
              <w:pStyle w:val="BodyText"/>
              <w:rPr>
                <w:lang w:val="en-NZ"/>
              </w:rPr>
            </w:pPr>
            <w:r w:rsidRPr="00B83BA6">
              <w:t>2. Fill barrel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BA6" w:rsidP="00B83BA6">
            <w:pPr>
              <w:pStyle w:val="BodyText"/>
            </w:pPr>
            <w:r w:rsidRPr="00B83BA6">
              <w:t>2.1 Transfer spirit into barrel</w:t>
            </w:r>
          </w:p>
          <w:p w:rsidR="00000000" w:rsidRPr="00B83BA6" w:rsidP="00B83BA6">
            <w:pPr>
              <w:pStyle w:val="BodyText"/>
            </w:pPr>
            <w:r w:rsidRPr="00B83BA6">
              <w:t>2.2 Replace bung and seal</w:t>
            </w:r>
          </w:p>
          <w:p w:rsidR="00000000" w:rsidRPr="00B83BA6" w:rsidP="00B83BA6">
            <w:pPr>
              <w:pStyle w:val="BodyText"/>
            </w:pPr>
            <w:r w:rsidRPr="00B83BA6">
              <w:t>2.3 Move barrel to storage area, using lifting equipment</w:t>
            </w:r>
          </w:p>
          <w:p w:rsidR="00000000" w:rsidP="00B83BA6">
            <w:pPr>
              <w:pStyle w:val="BodyText"/>
              <w:rPr>
                <w:lang w:val="en-NZ"/>
              </w:rPr>
            </w:pPr>
            <w:r w:rsidRPr="00B83BA6">
              <w:t>2.4 Complete records of barrel fill and storage conditions, as required by organisational procedures and Australian Tax Office (ATO) requirements</w:t>
            </w:r>
          </w:p>
        </w:tc>
      </w:tr>
      <w:tr w:rsidTr="003615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A6">
            <w:pPr>
              <w:pStyle w:val="BodyText"/>
              <w:rPr>
                <w:lang w:val="en-NZ"/>
              </w:rPr>
            </w:pPr>
            <w:r w:rsidRPr="00B83BA6">
              <w:t>3. Store barrel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BA6" w:rsidP="00B83BA6">
            <w:pPr>
              <w:pStyle w:val="BodyText"/>
            </w:pPr>
            <w:r w:rsidRPr="00B83BA6">
              <w:t>3.1 Monitor conditions in barrel sto</w:t>
            </w:r>
            <w:r w:rsidRPr="00B83BA6">
              <w:t>re to ensure they are safe</w:t>
            </w:r>
          </w:p>
          <w:p w:rsidR="00000000" w:rsidRPr="00B83BA6" w:rsidP="00B83BA6">
            <w:pPr>
              <w:pStyle w:val="BodyText"/>
            </w:pPr>
            <w:r w:rsidRPr="00B83BA6">
              <w:t>3.2 Monitor barrels for any leakages</w:t>
            </w:r>
          </w:p>
          <w:p w:rsidR="00000000" w:rsidRPr="00B83BA6" w:rsidP="00B83BA6">
            <w:pPr>
              <w:pStyle w:val="BodyText"/>
            </w:pPr>
            <w:r w:rsidRPr="00B83BA6">
              <w:t>3.3 Repair any leakages by tightening hoops or moistening staves</w:t>
            </w:r>
          </w:p>
          <w:p w:rsidR="00000000" w:rsidRPr="00B83BA6" w:rsidP="00B83BA6">
            <w:pPr>
              <w:pStyle w:val="BodyText"/>
            </w:pPr>
            <w:r w:rsidRPr="00B83BA6">
              <w:t>3.4 Complete barrel records, in line with organisational and regulatory requirements</w:t>
            </w:r>
          </w:p>
        </w:tc>
      </w:tr>
    </w:tbl>
    <w:p w:rsidR="00000000" w:rsidRPr="00B83BA6" w:rsidP="00B83BA6">
      <w:pPr>
        <w:pStyle w:val="BodyText"/>
      </w:pPr>
    </w:p>
    <w:p w:rsidR="00000000" w:rsidRPr="00B83BA6" w:rsidP="00B83BA6">
      <w:pPr>
        <w:pStyle w:val="AllowPageBreak"/>
      </w:pPr>
    </w:p>
    <w:p w:rsidR="00000000" w:rsidRPr="00B83BA6" w:rsidP="00B83BA6">
      <w:pPr>
        <w:pStyle w:val="Heading1"/>
      </w:pPr>
      <w:bookmarkStart w:id="6" w:name="O_1059128"/>
      <w:bookmarkEnd w:id="6"/>
      <w:r w:rsidRPr="00B83BA6">
        <w:t>Foundation Skills</w:t>
      </w:r>
    </w:p>
    <w:p w:rsidR="00000000" w:rsidRPr="003615C2" w:rsidP="003615C2">
      <w:pPr>
        <w:pStyle w:val="BodyText"/>
        <w:rPr>
          <w:i/>
        </w:rPr>
      </w:pPr>
      <w:r w:rsidRPr="003615C2">
        <w:rPr>
          <w:rStyle w:val="Emphasis"/>
        </w:rPr>
        <w:t>Thi</w:t>
      </w:r>
      <w:r w:rsidRPr="003615C2">
        <w:rPr>
          <w:rStyle w:val="Emphasis"/>
        </w:rPr>
        <w:t>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83B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A6">
            <w:pPr>
              <w:pStyle w:val="BodyTextBold"/>
              <w:rPr>
                <w:lang w:val="en-NZ"/>
              </w:rPr>
            </w:pPr>
            <w:r w:rsidRPr="00B83BA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A6">
            <w:pPr>
              <w:pStyle w:val="BodyTextBold"/>
              <w:rPr>
                <w:lang w:val="en-NZ"/>
              </w:rPr>
            </w:pPr>
            <w:r w:rsidRPr="00B83BA6">
              <w:t>Description</w:t>
            </w:r>
          </w:p>
        </w:tc>
      </w:tr>
      <w:tr w:rsidTr="00B83B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A6">
            <w:pPr>
              <w:pStyle w:val="BodyText"/>
              <w:rPr>
                <w:lang w:val="en-NZ"/>
              </w:rPr>
            </w:pPr>
            <w:r w:rsidRPr="00B83BA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A6">
            <w:pPr>
              <w:pStyle w:val="ListBullet"/>
              <w:rPr>
                <w:lang w:val="en-NZ"/>
              </w:rPr>
            </w:pPr>
            <w:r w:rsidRPr="00B83BA6">
              <w:t>Label barrels with fill details (in sequential order)</w:t>
            </w:r>
          </w:p>
        </w:tc>
      </w:tr>
      <w:tr w:rsidTr="00B83B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A6">
            <w:pPr>
              <w:pStyle w:val="BodyText"/>
              <w:rPr>
                <w:lang w:val="en-NZ"/>
              </w:rPr>
            </w:pPr>
            <w:r w:rsidRPr="00B83BA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BA6" w:rsidP="00B83BA6">
            <w:pPr>
              <w:pStyle w:val="ListBullet"/>
            </w:pPr>
            <w:r w:rsidRPr="00B83BA6">
              <w:t>Record volume filled (mL, L)</w:t>
            </w:r>
          </w:p>
          <w:p w:rsidR="00000000" w:rsidP="00B83BA6">
            <w:pPr>
              <w:pStyle w:val="ListBullet"/>
              <w:rPr>
                <w:lang w:val="en-NZ"/>
              </w:rPr>
            </w:pPr>
            <w:r w:rsidRPr="00B83BA6">
              <w:t>Accurately read and interpret readings from thermometer and hygrometer</w:t>
            </w:r>
          </w:p>
        </w:tc>
      </w:tr>
      <w:tr w:rsidTr="00B83B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A6">
            <w:pPr>
              <w:pStyle w:val="BodyText"/>
              <w:rPr>
                <w:lang w:val="en-NZ"/>
              </w:rPr>
            </w:pPr>
            <w:r w:rsidRPr="00B83BA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BA6" w:rsidP="00B83BA6">
            <w:pPr>
              <w:pStyle w:val="ListBullet"/>
            </w:pPr>
            <w:r w:rsidRPr="00B83BA6">
              <w:t>Problem solve issues as they arise</w:t>
            </w:r>
          </w:p>
        </w:tc>
      </w:tr>
    </w:tbl>
    <w:p w:rsidR="00000000" w:rsidRPr="00B83BA6" w:rsidP="00B83BA6">
      <w:pPr>
        <w:pStyle w:val="BodyText"/>
      </w:pPr>
    </w:p>
    <w:p w:rsidR="00000000" w:rsidRPr="00B83BA6" w:rsidP="00B83BA6">
      <w:pPr>
        <w:pStyle w:val="AllowPageBreak"/>
      </w:pPr>
    </w:p>
    <w:p w:rsidR="00000000" w:rsidRPr="00B83BA6" w:rsidP="00B83BA6">
      <w:pPr>
        <w:pStyle w:val="Heading1"/>
      </w:pPr>
      <w:bookmarkStart w:id="7" w:name="O_1059130"/>
      <w:bookmarkEnd w:id="7"/>
      <w:r w:rsidRPr="00B83BA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83B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A6">
            <w:pPr>
              <w:pStyle w:val="BodyTextBold"/>
              <w:rPr>
                <w:lang w:val="en-NZ"/>
              </w:rPr>
            </w:pPr>
            <w:r w:rsidRPr="00B83BA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A6">
            <w:pPr>
              <w:pStyle w:val="BodyTextBold"/>
              <w:rPr>
                <w:lang w:val="en-NZ"/>
              </w:rPr>
            </w:pPr>
            <w:r w:rsidRPr="00B83BA6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A6">
            <w:pPr>
              <w:pStyle w:val="BodyTextBold"/>
              <w:rPr>
                <w:lang w:val="en-NZ"/>
              </w:rPr>
            </w:pPr>
            <w:r w:rsidRPr="00B83BA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A6">
            <w:pPr>
              <w:pStyle w:val="BodyTextBold"/>
              <w:rPr>
                <w:lang w:val="en-NZ"/>
              </w:rPr>
            </w:pPr>
            <w:r w:rsidRPr="00B83BA6">
              <w:t>Equivalence status</w:t>
            </w:r>
          </w:p>
        </w:tc>
      </w:tr>
      <w:tr w:rsidTr="00B83B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A6">
            <w:pPr>
              <w:pStyle w:val="BodyText"/>
              <w:rPr>
                <w:lang w:val="en-NZ"/>
              </w:rPr>
            </w:pPr>
            <w:r w:rsidRPr="00B83BA6">
              <w:t>FBPTEC3004 Prepare, fill and store barrels for aging spirits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A6">
            <w:pPr>
              <w:pStyle w:val="BodyText"/>
              <w:rPr>
                <w:lang w:val="en-NZ"/>
              </w:rPr>
            </w:pPr>
            <w:r w:rsidRPr="00B83BA6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BA6">
            <w:pPr>
              <w:pStyle w:val="BodyText"/>
              <w:rPr>
                <w:lang w:val="en-NZ"/>
              </w:rPr>
            </w:pPr>
            <w:r w:rsidRPr="00B83BA6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BA6" w:rsidP="00B83BA6">
            <w:pPr>
              <w:pStyle w:val="BodyText"/>
            </w:pPr>
            <w:r w:rsidRPr="00B83BA6">
              <w:t>No equivalent unit</w:t>
            </w:r>
          </w:p>
        </w:tc>
      </w:tr>
    </w:tbl>
    <w:p w:rsidR="00000000" w:rsidRPr="00B83BA6" w:rsidP="00B83BA6">
      <w:pPr>
        <w:pStyle w:val="BodyText"/>
      </w:pPr>
    </w:p>
    <w:p w:rsidR="00000000" w:rsidRPr="00B83BA6" w:rsidP="00B83BA6">
      <w:pPr>
        <w:pStyle w:val="AllowPageBreak"/>
      </w:pPr>
    </w:p>
    <w:p w:rsidR="00000000" w:rsidRPr="00B83BA6" w:rsidP="00B83BA6">
      <w:pPr>
        <w:pStyle w:val="Heading1"/>
      </w:pPr>
      <w:bookmarkStart w:id="8" w:name="O_1059137"/>
      <w:bookmarkEnd w:id="8"/>
      <w:r w:rsidRPr="00B83BA6">
        <w:t>Links</w:t>
      </w:r>
    </w:p>
    <w:p w:rsidR="00000000" w:rsidRPr="00B83BA6" w:rsidP="003615C2">
      <w:pPr>
        <w:pStyle w:val="BodyText"/>
      </w:pPr>
      <w:r w:rsidRPr="00B83BA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A519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83BA6" w:rsidP="00B83BA6"/>
    <w:sectPr w:rsidSect="00B83B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B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BA6" w:rsidRPr="003615C2" w:rsidP="003615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B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5C2" w:rsidP="00B83B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15C2" w:rsidP="00B83B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615C2" w:rsidP="00B83B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B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5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3BA6" w:rsidRPr="003615C2" w:rsidP="003615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B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5C2" w:rsidRPr="002D2AF8" w:rsidP="00B83B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FBPTEC3004 Prepare, fill and store barrels for aging spirits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615C2" w:rsidP="00B83B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BA6A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26D8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B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3B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3B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3B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3B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3B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3B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3B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3B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3B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3B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3BA6"/>
  </w:style>
  <w:style w:type="character" w:customStyle="1" w:styleId="Heading1Char">
    <w:name w:val="Heading 1 Char"/>
    <w:basedOn w:val="DefaultParagraphFont"/>
    <w:link w:val="Heading1"/>
    <w:rsid w:val="00B83B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3B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3B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3BA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83BA6"/>
    <w:rPr>
      <w:i/>
    </w:rPr>
  </w:style>
  <w:style w:type="paragraph" w:customStyle="1" w:styleId="SuperHeading">
    <w:name w:val="SuperHeading"/>
    <w:basedOn w:val="Normal"/>
    <w:rsid w:val="00B83B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3B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83BA6"/>
    <w:rPr>
      <w:b/>
    </w:rPr>
  </w:style>
  <w:style w:type="character" w:customStyle="1" w:styleId="Heading2Char">
    <w:name w:val="Heading 2 Char"/>
    <w:basedOn w:val="DefaultParagraphFont"/>
    <w:link w:val="Heading2"/>
    <w:rsid w:val="00B83B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3B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3B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3B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3B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3B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3B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3B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3B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3B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3B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3B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3B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3B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3B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3B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3B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3B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3B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3B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3BA6"/>
    <w:rPr>
      <w:b/>
      <w:spacing w:val="0"/>
    </w:rPr>
  </w:style>
  <w:style w:type="paragraph" w:customStyle="1" w:styleId="SuperTitle">
    <w:name w:val="SuperTitle"/>
    <w:basedOn w:val="Title"/>
    <w:rsid w:val="00B83B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3B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3B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3B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3B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3B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3B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3B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3B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3B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3B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3B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3B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3B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3B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3B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3BA6"/>
  </w:style>
  <w:style w:type="paragraph" w:styleId="TableofFigures">
    <w:name w:val="table of figures"/>
    <w:basedOn w:val="Normal"/>
    <w:next w:val="Normal"/>
    <w:semiHidden/>
    <w:rsid w:val="00B83B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3B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3BA6"/>
    <w:rPr>
      <w:rFonts w:ascii="Wingdings" w:hAnsi="Wingdings"/>
    </w:rPr>
  </w:style>
  <w:style w:type="paragraph" w:customStyle="1" w:styleId="TableHeading">
    <w:name w:val="Table Heading"/>
    <w:basedOn w:val="HeadingBase"/>
    <w:rsid w:val="00B83B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3BA6"/>
    <w:rPr>
      <w:color w:val="0033CC"/>
      <w:u w:val="none"/>
    </w:rPr>
  </w:style>
  <w:style w:type="paragraph" w:customStyle="1" w:styleId="BodyTextRight">
    <w:name w:val="Body Text Right"/>
    <w:basedOn w:val="BodyText"/>
    <w:rsid w:val="00B83B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3B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3B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3B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3B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3B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3BA6"/>
    <w:rPr>
      <w:sz w:val="32"/>
    </w:rPr>
  </w:style>
  <w:style w:type="paragraph" w:customStyle="1" w:styleId="HeadingProcedure">
    <w:name w:val="Heading Procedure"/>
    <w:basedOn w:val="HeadingBase"/>
    <w:next w:val="Normal"/>
    <w:rsid w:val="00B83B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3BA6"/>
    <w:pPr>
      <w:spacing w:before="60" w:after="60"/>
    </w:pPr>
  </w:style>
  <w:style w:type="paragraph" w:styleId="ListContinue">
    <w:name w:val="List Continue"/>
    <w:basedOn w:val="List"/>
    <w:rsid w:val="00B83BA6"/>
    <w:pPr>
      <w:ind w:firstLine="0"/>
    </w:pPr>
  </w:style>
  <w:style w:type="paragraph" w:customStyle="1" w:styleId="ListNote">
    <w:name w:val="List Note"/>
    <w:basedOn w:val="List"/>
    <w:rsid w:val="00B83B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3B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3B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3BA6"/>
    <w:rPr>
      <w:rFonts w:ascii="Courier New" w:hAnsi="Courier New"/>
    </w:rPr>
  </w:style>
  <w:style w:type="paragraph" w:customStyle="1" w:styleId="NoteBullet">
    <w:name w:val="Note Bullet"/>
    <w:basedOn w:val="Note"/>
    <w:rsid w:val="00B83B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3B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3B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3B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3B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3B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3B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3BA6"/>
    <w:rPr>
      <w:b/>
      <w:smallCaps/>
    </w:rPr>
  </w:style>
  <w:style w:type="paragraph" w:customStyle="1" w:styleId="TableListNumber">
    <w:name w:val="Table List Number"/>
    <w:basedOn w:val="ListNumber"/>
    <w:rsid w:val="00B83B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3B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3BA6"/>
    <w:pPr>
      <w:numPr>
        <w:numId w:val="8"/>
      </w:numPr>
    </w:pPr>
  </w:style>
  <w:style w:type="paragraph" w:customStyle="1" w:styleId="ListAlpha2">
    <w:name w:val="List Alpha 2"/>
    <w:basedOn w:val="List2"/>
    <w:rsid w:val="00B83BA6"/>
    <w:pPr>
      <w:numPr>
        <w:numId w:val="7"/>
      </w:numPr>
    </w:pPr>
  </w:style>
  <w:style w:type="paragraph" w:styleId="List2">
    <w:name w:val="List 2"/>
    <w:basedOn w:val="BodyText"/>
    <w:rsid w:val="00B83B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3B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3B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3B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3B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3B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3BA6"/>
    <w:pPr>
      <w:numPr>
        <w:numId w:val="3"/>
      </w:numPr>
    </w:pPr>
  </w:style>
  <w:style w:type="paragraph" w:styleId="ListContinue2">
    <w:name w:val="List Continue 2"/>
    <w:basedOn w:val="List2"/>
    <w:rsid w:val="00B83BA6"/>
    <w:pPr>
      <w:ind w:firstLine="0"/>
    </w:pPr>
  </w:style>
  <w:style w:type="paragraph" w:styleId="ListContinue3">
    <w:name w:val="List Continue 3"/>
    <w:basedOn w:val="List3"/>
    <w:rsid w:val="00B83BA6"/>
    <w:pPr>
      <w:ind w:left="1021" w:firstLine="0"/>
    </w:pPr>
  </w:style>
  <w:style w:type="paragraph" w:styleId="ListContinue4">
    <w:name w:val="List Continue 4"/>
    <w:basedOn w:val="List4"/>
    <w:rsid w:val="00B83BA6"/>
    <w:pPr>
      <w:ind w:firstLine="0"/>
    </w:pPr>
  </w:style>
  <w:style w:type="paragraph" w:styleId="ListContinue5">
    <w:name w:val="List Continue 5"/>
    <w:basedOn w:val="List5"/>
    <w:rsid w:val="00B83BA6"/>
    <w:pPr>
      <w:ind w:firstLine="0"/>
    </w:pPr>
  </w:style>
  <w:style w:type="paragraph" w:styleId="ListNumber3">
    <w:name w:val="List Number 3"/>
    <w:basedOn w:val="List3"/>
    <w:rsid w:val="00B83BA6"/>
    <w:pPr>
      <w:numPr>
        <w:numId w:val="4"/>
      </w:numPr>
    </w:pPr>
  </w:style>
  <w:style w:type="paragraph" w:styleId="ListNumber4">
    <w:name w:val="List Number 4"/>
    <w:basedOn w:val="List4"/>
    <w:rsid w:val="00B83BA6"/>
    <w:pPr>
      <w:numPr>
        <w:numId w:val="5"/>
      </w:numPr>
    </w:pPr>
  </w:style>
  <w:style w:type="paragraph" w:styleId="ListNumber5">
    <w:name w:val="List Number 5"/>
    <w:basedOn w:val="List5"/>
    <w:rsid w:val="00B83BA6"/>
    <w:pPr>
      <w:numPr>
        <w:numId w:val="6"/>
      </w:numPr>
    </w:pPr>
  </w:style>
  <w:style w:type="paragraph" w:styleId="BlockText">
    <w:name w:val="Block Text"/>
    <w:basedOn w:val="Normal"/>
    <w:rsid w:val="00B83B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3B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3BA6"/>
    <w:rPr>
      <w:sz w:val="16"/>
      <w:vertAlign w:val="superscript"/>
    </w:rPr>
  </w:style>
  <w:style w:type="character" w:customStyle="1" w:styleId="Symbols">
    <w:name w:val="Symbols"/>
    <w:basedOn w:val="DefaultParagraphFont"/>
    <w:rsid w:val="00B83BA6"/>
    <w:rPr>
      <w:rFonts w:ascii="Symbol" w:hAnsi="Symbol"/>
    </w:rPr>
  </w:style>
  <w:style w:type="character" w:customStyle="1" w:styleId="MenuOptions">
    <w:name w:val="Menu Options"/>
    <w:basedOn w:val="DefaultParagraphFont"/>
    <w:rsid w:val="00B83B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3BA6"/>
    <w:rPr>
      <w:b/>
    </w:rPr>
  </w:style>
  <w:style w:type="character" w:customStyle="1" w:styleId="Underlined">
    <w:name w:val="Underlined"/>
    <w:basedOn w:val="DefaultParagraphFont"/>
    <w:rsid w:val="00B83BA6"/>
    <w:rPr>
      <w:u w:val="single"/>
    </w:rPr>
  </w:style>
  <w:style w:type="paragraph" w:customStyle="1" w:styleId="TableBodyTextRight">
    <w:name w:val="Table Body Text Right"/>
    <w:basedOn w:val="TableBodyText"/>
    <w:rsid w:val="00B83B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3BA6"/>
    <w:rPr>
      <w:sz w:val="18"/>
    </w:rPr>
  </w:style>
  <w:style w:type="paragraph" w:customStyle="1" w:styleId="BodySmallRight">
    <w:name w:val="Body Small Right"/>
    <w:basedOn w:val="BodyTextRight"/>
    <w:rsid w:val="00B83BA6"/>
    <w:rPr>
      <w:sz w:val="18"/>
      <w:szCs w:val="18"/>
    </w:rPr>
  </w:style>
  <w:style w:type="paragraph" w:customStyle="1" w:styleId="MarginEdition">
    <w:name w:val="Margin Edition"/>
    <w:basedOn w:val="MarginNote"/>
    <w:rsid w:val="00B83B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3BA6"/>
    <w:rPr>
      <w:sz w:val="2"/>
      <w:szCs w:val="2"/>
    </w:rPr>
  </w:style>
  <w:style w:type="character" w:customStyle="1" w:styleId="Small">
    <w:name w:val="Small"/>
    <w:basedOn w:val="DefaultParagraphFont"/>
    <w:rsid w:val="00B83BA6"/>
    <w:rPr>
      <w:sz w:val="16"/>
    </w:rPr>
  </w:style>
  <w:style w:type="paragraph" w:customStyle="1" w:styleId="WideTable">
    <w:name w:val="Wide Table"/>
    <w:basedOn w:val="Normal"/>
    <w:rsid w:val="00B83B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3BA6"/>
  </w:style>
  <w:style w:type="paragraph" w:styleId="Quote">
    <w:name w:val="Quote"/>
    <w:basedOn w:val="Heading1"/>
    <w:link w:val="QuoteChar"/>
    <w:qFormat/>
    <w:rsid w:val="00B83B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3B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3BA6"/>
    <w:pPr>
      <w:pageBreakBefore/>
    </w:pPr>
  </w:style>
  <w:style w:type="paragraph" w:customStyle="1" w:styleId="Border">
    <w:name w:val="Border"/>
    <w:basedOn w:val="Normal"/>
    <w:qFormat/>
    <w:rsid w:val="00B83B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3B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3B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3B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3B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3B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3B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3B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3B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3BA6"/>
    <w:rPr>
      <w:u w:val="single"/>
    </w:rPr>
  </w:style>
  <w:style w:type="character" w:customStyle="1" w:styleId="BoldandItalics">
    <w:name w:val="Bold and Italics"/>
    <w:qFormat/>
    <w:rsid w:val="00B83BA6"/>
    <w:rPr>
      <w:b/>
      <w:i/>
      <w:u w:val="none"/>
    </w:rPr>
  </w:style>
  <w:style w:type="paragraph" w:styleId="BalloonText">
    <w:name w:val="Balloon Text"/>
    <w:basedOn w:val="Normal"/>
    <w:link w:val="BalloonTextChar"/>
    <w:rsid w:val="00B83B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3B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3B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3B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3B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3B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3BA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615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435</Words>
  <Characters>2616</Characters>
  <Application>Microsoft Office Word</Application>
  <DocSecurity>0</DocSecurity>
  <Lines>104</Lines>
  <Paragraphs>76</Paragraphs>
  <ScaleCrop>false</ScaleCrop>
  <Company>Author-it Software Corporation Ltd.</Company>
  <LinksUpToDate>false</LinksUpToDate>
  <CharactersWithSpaces>2975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FBPTEC3004 Prepare, fill and store barrels for aging spirits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2023-01-25T12:22:00Z</dcterms:created>
  <dcterms:modified xsi:type="dcterms:W3CDTF">2023-01-25T12:22:00Z</dcterms:modified>
</cp:coreProperties>
</file>