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57D" w:rsidP="00C61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FBPSUG2007 Conduct cane weighbridge operations</w:t>
      </w:r>
      <w:r>
        <w:fldChar w:fldCharType="end"/>
      </w:r>
    </w:p>
    <w:p w:rsidR="00C6157D" w:rsidP="00C6157D">
      <w:pPr>
        <w:pStyle w:val="Version"/>
        <w:sectPr w:rsidSect="009C7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786" w:rsidP="009C7786">
      <w:pPr>
        <w:pStyle w:val="SuperHeading"/>
      </w:pPr>
      <w:r w:rsidRPr="009C7786">
        <w:t>FBPSUG2007 Conduct cane weighbridge operations</w:t>
      </w:r>
    </w:p>
    <w:p w:rsidR="00000000" w:rsidRPr="009C7786" w:rsidP="009C7786">
      <w:pPr>
        <w:pStyle w:val="Heading1"/>
      </w:pPr>
      <w:bookmarkStart w:id="1" w:name="O_988794"/>
      <w:bookmarkEnd w:id="1"/>
      <w:r w:rsidRPr="009C77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rPr>
                <w:rStyle w:val="SpecialBold"/>
              </w:rPr>
              <w:t>Comments</w:t>
            </w:r>
          </w:p>
        </w:tc>
      </w:tr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t>This version released with FBP Food, Beverage and Pharmaceutical Training Package Version 2.0.</w:t>
            </w:r>
          </w:p>
        </w:tc>
      </w:tr>
    </w:tbl>
    <w:p w:rsidR="00000000" w:rsidRPr="009C7786" w:rsidP="009C7786">
      <w:pPr>
        <w:pStyle w:val="BodyText"/>
      </w:pPr>
    </w:p>
    <w:p w:rsidR="00000000" w:rsidRPr="009C7786" w:rsidP="009C7786">
      <w:pPr>
        <w:pStyle w:val="AllowPageBreak"/>
      </w:pPr>
    </w:p>
    <w:p w:rsidR="00000000" w:rsidRPr="009C7786" w:rsidP="009C7786">
      <w:pPr>
        <w:pStyle w:val="Heading1"/>
      </w:pPr>
      <w:bookmarkStart w:id="2" w:name="O_988795"/>
      <w:bookmarkEnd w:id="2"/>
      <w:r w:rsidRPr="009C7786">
        <w:t>Application</w:t>
      </w:r>
    </w:p>
    <w:p w:rsidR="00000000" w:rsidRPr="009C7786" w:rsidP="00C6157D">
      <w:pPr>
        <w:pStyle w:val="BodyText"/>
      </w:pPr>
      <w:r w:rsidRPr="009C7786">
        <w:t>This unit of competency describes the skills and knowledge required to se</w:t>
      </w:r>
      <w:r w:rsidRPr="009C7786">
        <w:t>t up and operate a weighbridge to weigh and record incoming cane deliveries in sugar milling operations.</w:t>
      </w:r>
    </w:p>
    <w:p w:rsidR="00000000" w:rsidRPr="009C7786" w:rsidP="00C6157D">
      <w:pPr>
        <w:pStyle w:val="BodyText"/>
      </w:pPr>
      <w:r w:rsidRPr="009C7786">
        <w:t xml:space="preserve">The unit applies to individuals who work under supervision in the sugar milling industry. </w:t>
      </w:r>
    </w:p>
    <w:p w:rsidR="00000000" w:rsidRPr="009C7786" w:rsidP="00C6157D">
      <w:pPr>
        <w:pStyle w:val="BodyText"/>
      </w:pPr>
      <w:r w:rsidRPr="009C7786">
        <w:t>All work must be carried out to comply with workplace proced</w:t>
      </w:r>
      <w:r w:rsidRPr="009C7786">
        <w:t>ures according to state/territory health and safety regulations, legislation and standards that apply to the workplace.</w:t>
      </w:r>
    </w:p>
    <w:p w:rsidR="00000000" w:rsidRPr="009C7786" w:rsidP="00C6157D">
      <w:pPr>
        <w:pStyle w:val="BodyText"/>
      </w:pPr>
      <w:r w:rsidRPr="009C7786">
        <w:t>No occupational licensing, legislative or certification requirements apply to this unit at the time of publication.</w:t>
      </w:r>
    </w:p>
    <w:p w:rsidR="00000000" w:rsidRPr="009C7786" w:rsidP="009C7786">
      <w:pPr>
        <w:pStyle w:val="Heading1"/>
      </w:pPr>
      <w:bookmarkStart w:id="3" w:name="O_988796"/>
      <w:bookmarkEnd w:id="3"/>
      <w:r w:rsidRPr="009C7786">
        <w:t>Pre</w:t>
      </w:r>
      <w:r w:rsidRPr="009C7786">
        <w:t>-requisite Unit</w:t>
      </w:r>
    </w:p>
    <w:p w:rsidR="00000000" w:rsidRPr="009C7786" w:rsidP="00C6157D">
      <w:pPr>
        <w:pStyle w:val="BodyText"/>
      </w:pPr>
      <w:r w:rsidRPr="009C7786">
        <w:t>Nil</w:t>
      </w:r>
    </w:p>
    <w:p w:rsidR="00000000" w:rsidRPr="009C7786" w:rsidP="009C7786">
      <w:pPr>
        <w:pStyle w:val="Heading1"/>
      </w:pPr>
      <w:bookmarkStart w:id="4" w:name="O_988798"/>
      <w:bookmarkEnd w:id="4"/>
      <w:r w:rsidRPr="009C7786">
        <w:t>Unit Sector</w:t>
      </w:r>
    </w:p>
    <w:p w:rsidR="00000000" w:rsidRPr="009C7786" w:rsidP="00C6157D">
      <w:pPr>
        <w:pStyle w:val="BodyText"/>
      </w:pPr>
      <w:r w:rsidRPr="009C7786">
        <w:t>Sugar milling (SUG)</w:t>
      </w:r>
    </w:p>
    <w:p w:rsidR="00000000" w:rsidRPr="009C7786" w:rsidP="009C7786">
      <w:pPr>
        <w:pStyle w:val="Heading1"/>
      </w:pPr>
      <w:bookmarkStart w:id="5" w:name="O_988799"/>
      <w:bookmarkEnd w:id="5"/>
      <w:r w:rsidRPr="009C77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rPr>
                <w:rStyle w:val="SpecialBold"/>
              </w:rPr>
              <w:t>Performance Criteria</w:t>
            </w:r>
          </w:p>
        </w:tc>
      </w:tr>
      <w:tr w:rsidTr="00C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1. Set up weighbridge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t>1.1 Check weighbridge systems, including equipment, computer and recording arrangements, for operational status</w:t>
            </w:r>
          </w:p>
          <w:p w:rsidR="00000000" w:rsidRPr="009C7786" w:rsidP="009C7786">
            <w:pPr>
              <w:pStyle w:val="BodyText"/>
            </w:pPr>
            <w:r w:rsidRPr="009C7786">
              <w:t>1.2 Conduct te</w:t>
            </w:r>
            <w:r w:rsidRPr="009C7786">
              <w:t>sts to confirm accuracy of weighbridge operations and related functions in accordance with enterprise procedures, manufacturer’s instructions and relevant statutory requirements</w:t>
            </w:r>
          </w:p>
          <w:p w:rsidR="00000000" w:rsidRPr="009C7786" w:rsidP="009C7786">
            <w:pPr>
              <w:pStyle w:val="BodyText"/>
            </w:pPr>
            <w:r w:rsidRPr="009C7786">
              <w:t xml:space="preserve">1.3 Keep accurate reporting of the results of the inspection and testing </w:t>
            </w:r>
            <w:r w:rsidRPr="009C7786">
              <w:t>accor</w:t>
            </w:r>
            <w:r w:rsidRPr="009C7786">
              <w:t>ding to workplace procedures</w:t>
            </w:r>
          </w:p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1.4 Identify hazards and faults/discrepancies in weighbridge operation and undertake action according to workplace requirements</w:t>
            </w:r>
          </w:p>
        </w:tc>
      </w:tr>
      <w:tr w:rsidTr="00C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2. Weigh loaded vehicles/bins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t>2.1 Select, fit and use personal protective equipment according to safe work practices</w:t>
            </w:r>
          </w:p>
          <w:p w:rsidR="00000000" w:rsidRPr="009C7786" w:rsidP="009C7786">
            <w:pPr>
              <w:pStyle w:val="BodyText"/>
            </w:pPr>
            <w:r w:rsidRPr="009C7786">
              <w:t>2.2 Reject bins exceeding weight limit</w:t>
            </w:r>
          </w:p>
          <w:p w:rsidR="00000000" w:rsidRPr="009C7786" w:rsidP="009C7786">
            <w:pPr>
              <w:pStyle w:val="BodyText"/>
            </w:pPr>
            <w:r w:rsidRPr="009C7786">
              <w:t>2.3 Register weight of loaded bins or vehicles against bin identification</w:t>
            </w:r>
          </w:p>
          <w:p w:rsidR="00000000" w:rsidRPr="009C7786" w:rsidP="009C7786">
            <w:pPr>
              <w:pStyle w:val="BodyText"/>
            </w:pPr>
            <w:r w:rsidRPr="009C7786">
              <w:t>2.4 Calculate net weight of bins and vehicles</w:t>
            </w:r>
          </w:p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2.5 Record</w:t>
            </w:r>
            <w:r w:rsidRPr="009C7786">
              <w:t xml:space="preserve"> bins or vehicles and cane type according to workplace procedures</w:t>
            </w:r>
          </w:p>
        </w:tc>
      </w:tr>
      <w:tr w:rsidTr="00C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3. Prepare for shift changeover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t>3.1 Secure weighbridge systems, including equipment, computer and recording arrangements, or make ready for the next shift</w:t>
            </w:r>
          </w:p>
          <w:p w:rsidR="00000000" w:rsidRPr="009C7786" w:rsidP="009C7786">
            <w:pPr>
              <w:pStyle w:val="BodyText"/>
            </w:pPr>
            <w:r w:rsidRPr="009C7786">
              <w:t>3.2 Maintain records of operations</w:t>
            </w:r>
            <w:r w:rsidRPr="009C7786">
              <w:t xml:space="preserve"> and file according to workplace procedures</w:t>
            </w:r>
          </w:p>
          <w:p w:rsidR="00000000" w:rsidRPr="009C7786" w:rsidP="009C7786">
            <w:pPr>
              <w:pStyle w:val="BodyText"/>
            </w:pPr>
            <w:r w:rsidRPr="009C7786">
              <w:t>3.3 Undertake shift changeover according to workplace procedures</w:t>
            </w:r>
          </w:p>
          <w:p w:rsidR="00000000" w:rsidRPr="009C7786" w:rsidP="009C7786">
            <w:pPr>
              <w:pStyle w:val="BodyText"/>
            </w:pPr>
            <w:r w:rsidRPr="009C7786">
              <w:t xml:space="preserve">3.4 Inform incoming weighbridge operators of weighbridge and related equipment status procedures </w:t>
            </w:r>
          </w:p>
        </w:tc>
      </w:tr>
    </w:tbl>
    <w:p w:rsidR="00C6157D" w:rsidP="009C7786">
      <w:pPr>
        <w:pStyle w:val="BodyText"/>
      </w:pPr>
    </w:p>
    <w:p w:rsidR="00C6157D" w:rsidP="009C7786">
      <w:pPr>
        <w:pStyle w:val="BodyText"/>
      </w:pPr>
    </w:p>
    <w:p w:rsidR="00000000" w:rsidRPr="009C7786" w:rsidP="009C7786">
      <w:pPr>
        <w:pStyle w:val="Heading1"/>
      </w:pPr>
      <w:bookmarkStart w:id="6" w:name="O_988800"/>
      <w:bookmarkEnd w:id="6"/>
      <w:r w:rsidRPr="009C7786">
        <w:t>Foundation Skills</w:t>
      </w:r>
    </w:p>
    <w:p w:rsidR="00000000" w:rsidRPr="00C6157D" w:rsidP="00C6157D">
      <w:pPr>
        <w:pStyle w:val="BodyText"/>
        <w:rPr>
          <w:i/>
        </w:rPr>
      </w:pPr>
      <w:r w:rsidRPr="00C6157D">
        <w:rPr>
          <w:rStyle w:val="Emphasis"/>
        </w:rPr>
        <w:t>This sectio</w:t>
      </w:r>
      <w:r w:rsidRPr="00C6157D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rPr>
                <w:rStyle w:val="SpecialBold"/>
              </w:rPr>
              <w:t>Description</w:t>
            </w:r>
          </w:p>
        </w:tc>
      </w:tr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ListBullet"/>
              <w:rPr>
                <w:lang w:val="en-NZ"/>
              </w:rPr>
            </w:pPr>
            <w:r w:rsidRPr="009C7786">
              <w:t xml:space="preserve">Interpret workplace requirements, standard operating procedures and specifications relevant to job role </w:t>
            </w:r>
          </w:p>
        </w:tc>
      </w:tr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ListBullet"/>
              <w:rPr>
                <w:lang w:val="en-NZ"/>
              </w:rPr>
            </w:pPr>
            <w:r w:rsidRPr="009C7786">
              <w:t>Check and confirm operational status of equipment and calibration of weighbridges using test weights</w:t>
            </w:r>
          </w:p>
        </w:tc>
      </w:tr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ListBullet"/>
            </w:pPr>
            <w:r w:rsidRPr="009C7786">
              <w:t>Understand</w:t>
            </w:r>
            <w:r w:rsidRPr="009C7786">
              <w:t xml:space="preserve"> main tasks, responsibilities and boundaries of own role</w:t>
            </w:r>
          </w:p>
          <w:p w:rsidR="00000000" w:rsidP="009C7786">
            <w:pPr>
              <w:pStyle w:val="ListBullet"/>
              <w:rPr>
                <w:lang w:val="en-NZ"/>
              </w:rPr>
            </w:pPr>
            <w:r w:rsidRPr="009C7786">
              <w:t>Apply workplace procedures relevant to own role</w:t>
            </w:r>
          </w:p>
        </w:tc>
      </w:tr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ListBullet"/>
              <w:rPr>
                <w:lang w:val="en-NZ"/>
              </w:rPr>
            </w:pPr>
            <w:r w:rsidRPr="009C7786">
              <w:t>Apply communication practices and protocols relevant to own role</w:t>
            </w:r>
          </w:p>
        </w:tc>
      </w:tr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ListBullet"/>
            </w:pPr>
            <w:r w:rsidRPr="009C7786">
              <w:t>Complete tasks in required sequence</w:t>
            </w:r>
          </w:p>
          <w:p w:rsidR="00000000" w:rsidRPr="009C7786" w:rsidP="009C7786">
            <w:pPr>
              <w:pStyle w:val="ListBullet"/>
            </w:pPr>
            <w:r w:rsidRPr="009C7786">
              <w:t xml:space="preserve">Apply decision-making processes to control hazards in routine situations </w:t>
            </w:r>
          </w:p>
        </w:tc>
      </w:tr>
    </w:tbl>
    <w:p w:rsidR="00C6157D" w:rsidP="009C7786">
      <w:pPr>
        <w:pStyle w:val="BodyText"/>
      </w:pPr>
    </w:p>
    <w:p w:rsidR="00C6157D" w:rsidP="009C7786">
      <w:pPr>
        <w:pStyle w:val="BodyText"/>
      </w:pPr>
    </w:p>
    <w:p w:rsidR="00000000" w:rsidRPr="009C7786" w:rsidP="009C7786">
      <w:pPr>
        <w:pStyle w:val="Heading1"/>
      </w:pPr>
      <w:bookmarkStart w:id="7" w:name="O_988802"/>
      <w:bookmarkEnd w:id="7"/>
      <w:r w:rsidRPr="009C77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rPr>
                <w:rStyle w:val="SpecialBold"/>
              </w:rPr>
              <w:t>Equivalence status</w:t>
            </w:r>
          </w:p>
        </w:tc>
      </w:tr>
      <w:tr w:rsidTr="009C77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FBPSUG2007 Conduct cane weighbridge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FDFSUG207A Conduct cane weighbridge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786">
            <w:pPr>
              <w:pStyle w:val="BodyText"/>
              <w:rPr>
                <w:lang w:val="en-NZ"/>
              </w:rPr>
            </w:pPr>
            <w:r w:rsidRPr="009C778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786" w:rsidP="009C7786">
            <w:pPr>
              <w:pStyle w:val="BodyText"/>
            </w:pPr>
            <w:r w:rsidRPr="009C7786">
              <w:t>Equivalent unit</w:t>
            </w:r>
          </w:p>
        </w:tc>
      </w:tr>
    </w:tbl>
    <w:p w:rsidR="00000000" w:rsidRPr="009C7786" w:rsidP="009C7786">
      <w:pPr>
        <w:pStyle w:val="BodyText"/>
      </w:pPr>
    </w:p>
    <w:p w:rsidR="00000000" w:rsidRPr="009C7786" w:rsidP="009C7786">
      <w:pPr>
        <w:pStyle w:val="AllowPageBreak"/>
      </w:pPr>
    </w:p>
    <w:p w:rsidR="00000000" w:rsidRPr="009C7786" w:rsidP="009C7786">
      <w:pPr>
        <w:pStyle w:val="Heading1"/>
      </w:pPr>
      <w:bookmarkStart w:id="8" w:name="O_988809"/>
      <w:bookmarkEnd w:id="8"/>
      <w:r w:rsidRPr="009C7786">
        <w:t>Links</w:t>
      </w:r>
    </w:p>
    <w:p w:rsidR="00000000" w:rsidRPr="009C7786" w:rsidP="00C6157D">
      <w:pPr>
        <w:pStyle w:val="BodyText"/>
      </w:pPr>
      <w:r w:rsidRPr="009C778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0ED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7786" w:rsidP="009C7786"/>
    <w:sectPr w:rsidSect="009C77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86" w:rsidRPr="00C6157D" w:rsidP="00C61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7D" w:rsidP="009C7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57D" w:rsidP="009C7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157D" w:rsidP="009C7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786" w:rsidRPr="00C6157D" w:rsidP="00C61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57D" w:rsidRPr="002D2AF8" w:rsidP="009C7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FBPSUG2007 Conduct cane weighbridge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C6157D" w:rsidP="009C7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C42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6A7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786"/>
  </w:style>
  <w:style w:type="character" w:customStyle="1" w:styleId="Heading1Char">
    <w:name w:val="Heading 1 Char"/>
    <w:basedOn w:val="DefaultParagraphFont"/>
    <w:link w:val="Heading1"/>
    <w:rsid w:val="009C7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7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786"/>
    <w:rPr>
      <w:b/>
      <w:spacing w:val="0"/>
    </w:rPr>
  </w:style>
  <w:style w:type="character" w:styleId="Emphasis">
    <w:name w:val="Emphasis"/>
    <w:basedOn w:val="DefaultParagraphFont"/>
    <w:qFormat/>
    <w:rsid w:val="009C7786"/>
    <w:rPr>
      <w:i/>
    </w:rPr>
  </w:style>
  <w:style w:type="paragraph" w:customStyle="1" w:styleId="SuperHeading">
    <w:name w:val="SuperHeading"/>
    <w:basedOn w:val="Normal"/>
    <w:rsid w:val="009C7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7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786"/>
  </w:style>
  <w:style w:type="paragraph" w:styleId="TableofFigures">
    <w:name w:val="table of figures"/>
    <w:basedOn w:val="Normal"/>
    <w:next w:val="Normal"/>
    <w:semiHidden/>
    <w:rsid w:val="009C7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7786"/>
    <w:rPr>
      <w:rFonts w:ascii="Wingdings" w:hAnsi="Wingdings"/>
    </w:rPr>
  </w:style>
  <w:style w:type="paragraph" w:customStyle="1" w:styleId="TableHeading">
    <w:name w:val="Table Heading"/>
    <w:basedOn w:val="HeadingBase"/>
    <w:rsid w:val="009C7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786"/>
    <w:rPr>
      <w:color w:val="0033CC"/>
      <w:u w:val="none"/>
    </w:rPr>
  </w:style>
  <w:style w:type="paragraph" w:customStyle="1" w:styleId="BodyTextRight">
    <w:name w:val="Body Text Right"/>
    <w:basedOn w:val="BodyText"/>
    <w:rsid w:val="009C7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786"/>
    <w:rPr>
      <w:sz w:val="32"/>
    </w:rPr>
  </w:style>
  <w:style w:type="paragraph" w:customStyle="1" w:styleId="HeadingProcedure">
    <w:name w:val="Heading Procedure"/>
    <w:basedOn w:val="HeadingBase"/>
    <w:next w:val="Normal"/>
    <w:rsid w:val="009C7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786"/>
    <w:pPr>
      <w:spacing w:before="60" w:after="60"/>
    </w:pPr>
  </w:style>
  <w:style w:type="paragraph" w:styleId="ListContinue">
    <w:name w:val="List Continue"/>
    <w:basedOn w:val="List"/>
    <w:rsid w:val="009C7786"/>
    <w:pPr>
      <w:ind w:firstLine="0"/>
    </w:pPr>
  </w:style>
  <w:style w:type="paragraph" w:customStyle="1" w:styleId="ListNote">
    <w:name w:val="List Note"/>
    <w:basedOn w:val="List"/>
    <w:rsid w:val="009C7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786"/>
    <w:rPr>
      <w:rFonts w:ascii="Courier New" w:hAnsi="Courier New"/>
    </w:rPr>
  </w:style>
  <w:style w:type="paragraph" w:customStyle="1" w:styleId="NoteBullet">
    <w:name w:val="Note Bullet"/>
    <w:basedOn w:val="Note"/>
    <w:rsid w:val="009C7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7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786"/>
    <w:rPr>
      <w:b/>
      <w:smallCaps/>
    </w:rPr>
  </w:style>
  <w:style w:type="paragraph" w:customStyle="1" w:styleId="TableListNumber">
    <w:name w:val="Table List Number"/>
    <w:basedOn w:val="ListNumber"/>
    <w:rsid w:val="009C7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786"/>
    <w:pPr>
      <w:numPr>
        <w:numId w:val="8"/>
      </w:numPr>
    </w:pPr>
  </w:style>
  <w:style w:type="paragraph" w:customStyle="1" w:styleId="ListAlpha2">
    <w:name w:val="List Alpha 2"/>
    <w:basedOn w:val="List2"/>
    <w:rsid w:val="009C7786"/>
    <w:pPr>
      <w:numPr>
        <w:numId w:val="7"/>
      </w:numPr>
    </w:pPr>
  </w:style>
  <w:style w:type="paragraph" w:styleId="List2">
    <w:name w:val="List 2"/>
    <w:basedOn w:val="BodyText"/>
    <w:rsid w:val="009C7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7786"/>
    <w:pPr>
      <w:numPr>
        <w:numId w:val="3"/>
      </w:numPr>
    </w:pPr>
  </w:style>
  <w:style w:type="paragraph" w:styleId="ListContinue2">
    <w:name w:val="List Continue 2"/>
    <w:basedOn w:val="List2"/>
    <w:rsid w:val="009C7786"/>
    <w:pPr>
      <w:ind w:firstLine="0"/>
    </w:pPr>
  </w:style>
  <w:style w:type="paragraph" w:styleId="ListContinue3">
    <w:name w:val="List Continue 3"/>
    <w:basedOn w:val="List3"/>
    <w:rsid w:val="009C7786"/>
    <w:pPr>
      <w:ind w:left="1021" w:firstLine="0"/>
    </w:pPr>
  </w:style>
  <w:style w:type="paragraph" w:styleId="ListContinue4">
    <w:name w:val="List Continue 4"/>
    <w:basedOn w:val="List4"/>
    <w:rsid w:val="009C7786"/>
    <w:pPr>
      <w:ind w:firstLine="0"/>
    </w:pPr>
  </w:style>
  <w:style w:type="paragraph" w:styleId="ListContinue5">
    <w:name w:val="List Continue 5"/>
    <w:basedOn w:val="List5"/>
    <w:rsid w:val="009C7786"/>
    <w:pPr>
      <w:ind w:firstLine="0"/>
    </w:pPr>
  </w:style>
  <w:style w:type="paragraph" w:styleId="ListNumber3">
    <w:name w:val="List Number 3"/>
    <w:basedOn w:val="List3"/>
    <w:rsid w:val="009C7786"/>
    <w:pPr>
      <w:numPr>
        <w:numId w:val="4"/>
      </w:numPr>
    </w:pPr>
  </w:style>
  <w:style w:type="paragraph" w:styleId="ListNumber4">
    <w:name w:val="List Number 4"/>
    <w:basedOn w:val="List4"/>
    <w:rsid w:val="009C7786"/>
    <w:pPr>
      <w:numPr>
        <w:numId w:val="5"/>
      </w:numPr>
    </w:pPr>
  </w:style>
  <w:style w:type="paragraph" w:styleId="ListNumber5">
    <w:name w:val="List Number 5"/>
    <w:basedOn w:val="List5"/>
    <w:rsid w:val="009C7786"/>
    <w:pPr>
      <w:numPr>
        <w:numId w:val="6"/>
      </w:numPr>
    </w:pPr>
  </w:style>
  <w:style w:type="paragraph" w:styleId="BlockText">
    <w:name w:val="Block Text"/>
    <w:basedOn w:val="Normal"/>
    <w:rsid w:val="009C7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786"/>
    <w:rPr>
      <w:sz w:val="16"/>
      <w:vertAlign w:val="superscript"/>
    </w:rPr>
  </w:style>
  <w:style w:type="character" w:customStyle="1" w:styleId="Symbols">
    <w:name w:val="Symbols"/>
    <w:basedOn w:val="DefaultParagraphFont"/>
    <w:rsid w:val="009C7786"/>
    <w:rPr>
      <w:rFonts w:ascii="Symbol" w:hAnsi="Symbol"/>
    </w:rPr>
  </w:style>
  <w:style w:type="character" w:customStyle="1" w:styleId="MenuOptions">
    <w:name w:val="Menu Options"/>
    <w:basedOn w:val="DefaultParagraphFont"/>
    <w:rsid w:val="009C7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786"/>
    <w:rPr>
      <w:b/>
    </w:rPr>
  </w:style>
  <w:style w:type="character" w:customStyle="1" w:styleId="Underlined">
    <w:name w:val="Underlined"/>
    <w:basedOn w:val="DefaultParagraphFont"/>
    <w:rsid w:val="009C7786"/>
    <w:rPr>
      <w:u w:val="single"/>
    </w:rPr>
  </w:style>
  <w:style w:type="paragraph" w:customStyle="1" w:styleId="TableBodyTextRight">
    <w:name w:val="Table Body Text Right"/>
    <w:basedOn w:val="TableBodyText"/>
    <w:rsid w:val="009C7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786"/>
    <w:rPr>
      <w:sz w:val="18"/>
    </w:rPr>
  </w:style>
  <w:style w:type="paragraph" w:customStyle="1" w:styleId="BodySmallRight">
    <w:name w:val="Body Small Right"/>
    <w:basedOn w:val="BodyTextRight"/>
    <w:rsid w:val="009C7786"/>
    <w:rPr>
      <w:sz w:val="18"/>
      <w:szCs w:val="18"/>
    </w:rPr>
  </w:style>
  <w:style w:type="paragraph" w:customStyle="1" w:styleId="MarginEdition">
    <w:name w:val="Margin Edition"/>
    <w:basedOn w:val="MarginNote"/>
    <w:rsid w:val="009C7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786"/>
    <w:rPr>
      <w:sz w:val="2"/>
      <w:szCs w:val="2"/>
    </w:rPr>
  </w:style>
  <w:style w:type="character" w:customStyle="1" w:styleId="Small">
    <w:name w:val="Small"/>
    <w:basedOn w:val="DefaultParagraphFont"/>
    <w:rsid w:val="009C7786"/>
    <w:rPr>
      <w:sz w:val="16"/>
    </w:rPr>
  </w:style>
  <w:style w:type="paragraph" w:customStyle="1" w:styleId="WideTable">
    <w:name w:val="Wide Table"/>
    <w:basedOn w:val="Normal"/>
    <w:rsid w:val="009C7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786"/>
  </w:style>
  <w:style w:type="paragraph" w:styleId="Quote">
    <w:name w:val="Quote"/>
    <w:basedOn w:val="Heading1"/>
    <w:link w:val="QuoteChar"/>
    <w:qFormat/>
    <w:rsid w:val="009C7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786"/>
    <w:pPr>
      <w:pageBreakBefore/>
    </w:pPr>
  </w:style>
  <w:style w:type="paragraph" w:customStyle="1" w:styleId="Border">
    <w:name w:val="Border"/>
    <w:basedOn w:val="Normal"/>
    <w:qFormat/>
    <w:rsid w:val="009C7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786"/>
    <w:rPr>
      <w:u w:val="single"/>
    </w:rPr>
  </w:style>
  <w:style w:type="character" w:customStyle="1" w:styleId="BoldandItalics">
    <w:name w:val="Bold and Italics"/>
    <w:qFormat/>
    <w:rsid w:val="009C7786"/>
    <w:rPr>
      <w:b/>
      <w:i/>
      <w:u w:val="none"/>
    </w:rPr>
  </w:style>
  <w:style w:type="paragraph" w:styleId="BalloonText">
    <w:name w:val="Balloon Text"/>
    <w:basedOn w:val="Normal"/>
    <w:link w:val="BalloonTextChar"/>
    <w:rsid w:val="009C7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786"/>
    <w:pPr>
      <w:spacing w:before="0" w:after="0"/>
    </w:pPr>
  </w:style>
  <w:style w:type="paragraph" w:customStyle="1" w:styleId="BodyTextBold">
    <w:name w:val="Body Text Bold"/>
    <w:basedOn w:val="BodyText"/>
    <w:qFormat/>
    <w:rsid w:val="009C7786"/>
    <w:rPr>
      <w:b/>
    </w:rPr>
  </w:style>
  <w:style w:type="character" w:styleId="Hyperlink">
    <w:name w:val="Hyperlink"/>
    <w:basedOn w:val="DefaultParagraphFont"/>
    <w:uiPriority w:val="99"/>
    <w:unhideWhenUsed/>
    <w:rsid w:val="00C61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3321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FBPSUG2007 Conduct cane weighbridge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2021-09-09T01:02:00Z</dcterms:created>
  <dcterms:modified xsi:type="dcterms:W3CDTF">2021-09-09T01:02:00Z</dcterms:modified>
</cp:coreProperties>
</file>