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72A" w:rsidP="004A6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FBPPPL5001 Design and maintain programs to support legal compliance</w:t>
      </w:r>
      <w:r>
        <w:fldChar w:fldCharType="end"/>
      </w:r>
    </w:p>
    <w:p w:rsidR="004A672A" w:rsidP="004A672A">
      <w:pPr>
        <w:pStyle w:val="Version"/>
        <w:sectPr w:rsidSect="00FB6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B69" w:rsidP="00FB6B69">
      <w:pPr>
        <w:pStyle w:val="SuperHeading"/>
      </w:pPr>
      <w:r w:rsidRPr="00FB6B69">
        <w:t>Assessment Requirements for FBPPPL5001 Design and maintain programs to support legal compliance</w:t>
      </w:r>
    </w:p>
    <w:p w:rsidR="00000000" w:rsidRPr="00FB6B69" w:rsidP="00FB6B69">
      <w:pPr>
        <w:pStyle w:val="Heading1"/>
      </w:pPr>
      <w:bookmarkStart w:id="1" w:name="O_995408"/>
      <w:bookmarkEnd w:id="1"/>
      <w:r w:rsidRPr="00FB6B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B6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B69" w:rsidP="00FB6B69">
            <w:pPr>
              <w:pStyle w:val="BodyText"/>
            </w:pPr>
            <w:r w:rsidRPr="00FB6B6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69">
            <w:pPr>
              <w:pStyle w:val="BodyText"/>
              <w:rPr>
                <w:lang w:val="en-NZ"/>
              </w:rPr>
            </w:pPr>
            <w:r w:rsidRPr="00FB6B69">
              <w:rPr>
                <w:rStyle w:val="SpecialBold"/>
              </w:rPr>
              <w:t>Comments</w:t>
            </w:r>
          </w:p>
        </w:tc>
      </w:tr>
      <w:tr w:rsidTr="00FB6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B69">
            <w:pPr>
              <w:pStyle w:val="BodyText"/>
              <w:rPr>
                <w:lang w:val="en-NZ"/>
              </w:rPr>
            </w:pPr>
            <w:r w:rsidRPr="00FB6B6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B69" w:rsidP="00FB6B69">
            <w:pPr>
              <w:pStyle w:val="BodyText"/>
            </w:pPr>
            <w:r w:rsidRPr="00FB6B69">
              <w:t>This version released with the FBP Food, Beverage and Pharmaceutical Training Package Version 2.0.</w:t>
            </w:r>
          </w:p>
        </w:tc>
      </w:tr>
    </w:tbl>
    <w:p w:rsidR="00000000" w:rsidRPr="00FB6B69" w:rsidP="00FB6B69">
      <w:pPr>
        <w:pStyle w:val="BodyText"/>
      </w:pPr>
    </w:p>
    <w:p w:rsidR="00000000" w:rsidRPr="00FB6B69" w:rsidP="00FB6B69">
      <w:pPr>
        <w:pStyle w:val="AllowPageBreak"/>
      </w:pPr>
    </w:p>
    <w:p w:rsidR="00000000" w:rsidRPr="00FB6B69" w:rsidP="00FB6B69">
      <w:pPr>
        <w:pStyle w:val="Heading1"/>
      </w:pPr>
      <w:bookmarkStart w:id="2" w:name="O_995409"/>
      <w:bookmarkEnd w:id="2"/>
      <w:r w:rsidRPr="00FB6B69">
        <w:t>Performance Evidence</w:t>
      </w:r>
    </w:p>
    <w:p w:rsidR="00000000" w:rsidRPr="00FB6B69" w:rsidP="004A672A">
      <w:pPr>
        <w:pStyle w:val="BodyText"/>
      </w:pPr>
      <w:r w:rsidRPr="00FB6B69">
        <w:t>An individual demonstrating competency in this unit must satisfy all of the elements and performance criteria of this</w:t>
      </w:r>
      <w:r w:rsidRPr="00FB6B69">
        <w:t xml:space="preserve"> unit. </w:t>
      </w:r>
    </w:p>
    <w:p w:rsidR="00000000" w:rsidRPr="00FB6B69" w:rsidP="004A672A">
      <w:pPr>
        <w:pStyle w:val="BodyText"/>
      </w:pPr>
      <w:r w:rsidRPr="00FB6B69">
        <w:t>There must be evidence that the individual has designed (or reviewed) and maintained programs to support legal compliance on at least one occasion, including:</w:t>
      </w:r>
    </w:p>
    <w:p w:rsidR="00000000" w:rsidRPr="00FB6B69" w:rsidP="00FB6B69">
      <w:pPr>
        <w:pStyle w:val="ListBullet"/>
      </w:pPr>
      <w:r w:rsidRPr="00FB6B69">
        <w:t>identifying the legal and regulatory framework for the program</w:t>
      </w:r>
    </w:p>
    <w:p w:rsidR="00000000" w:rsidRPr="00FB6B69" w:rsidP="00FB6B69">
      <w:pPr>
        <w:pStyle w:val="ListBullet"/>
      </w:pPr>
      <w:r w:rsidRPr="00FB6B69">
        <w:t>defining the parameters of the program</w:t>
      </w:r>
    </w:p>
    <w:p w:rsidR="00000000" w:rsidRPr="00FB6B69" w:rsidP="00FB6B69">
      <w:pPr>
        <w:pStyle w:val="ListBullet"/>
      </w:pPr>
      <w:r w:rsidRPr="00FB6B69">
        <w:t>determining compliance requirements for the program and conducting risk analysis</w:t>
      </w:r>
    </w:p>
    <w:p w:rsidR="00000000" w:rsidRPr="00FB6B69" w:rsidP="00FB6B69">
      <w:pPr>
        <w:pStyle w:val="ListBullet"/>
      </w:pPr>
      <w:r w:rsidRPr="00FB6B69">
        <w:t>identifying and engaging relevant personnel through consultative mechanisms</w:t>
      </w:r>
    </w:p>
    <w:p w:rsidR="00000000" w:rsidRPr="00FB6B69" w:rsidP="00FB6B69">
      <w:pPr>
        <w:pStyle w:val="ListBullet"/>
      </w:pPr>
      <w:r w:rsidRPr="00FB6B69">
        <w:t>designing and/or developing program procedures to ensure com</w:t>
      </w:r>
      <w:r w:rsidRPr="00FB6B69">
        <w:t xml:space="preserve">pliance </w:t>
      </w:r>
    </w:p>
    <w:p w:rsidR="00000000" w:rsidRPr="00FB6B69" w:rsidP="00FB6B69">
      <w:pPr>
        <w:pStyle w:val="ListBullet"/>
      </w:pPr>
      <w:r w:rsidRPr="00FB6B69">
        <w:t>completing detailed reporting to support the maintenance of compliance</w:t>
      </w:r>
    </w:p>
    <w:p w:rsidR="00000000" w:rsidRPr="00FB6B69" w:rsidP="00FB6B69">
      <w:pPr>
        <w:pStyle w:val="ListBullet"/>
      </w:pPr>
      <w:r w:rsidRPr="00FB6B69">
        <w:t>providing support to personnel to ensure compliance</w:t>
      </w:r>
    </w:p>
    <w:p w:rsidR="00000000" w:rsidRPr="00FB6B69" w:rsidP="00FB6B69">
      <w:pPr>
        <w:pStyle w:val="ListBullet"/>
      </w:pPr>
      <w:r w:rsidRPr="00FB6B69">
        <w:t>reviewing and monitoring program to ensure compliance is maintained.</w:t>
      </w:r>
    </w:p>
    <w:p w:rsidR="00000000" w:rsidRPr="00FB6B69" w:rsidP="00FB6B69">
      <w:pPr>
        <w:pStyle w:val="AllowPageBreak"/>
      </w:pPr>
    </w:p>
    <w:p w:rsidR="00000000" w:rsidRPr="00FB6B69" w:rsidP="00FB6B69">
      <w:pPr>
        <w:pStyle w:val="Heading1"/>
      </w:pPr>
      <w:bookmarkStart w:id="3" w:name="O_995410"/>
      <w:bookmarkEnd w:id="3"/>
      <w:r w:rsidRPr="00FB6B69">
        <w:t>Knowledge Evidence</w:t>
      </w:r>
    </w:p>
    <w:p w:rsidR="00000000" w:rsidRPr="00FB6B69" w:rsidP="004A672A">
      <w:pPr>
        <w:pStyle w:val="BodyText"/>
      </w:pPr>
      <w:r w:rsidRPr="00FB6B69">
        <w:t xml:space="preserve">An individual must </w:t>
      </w:r>
      <w:r w:rsidRPr="00FB6B69">
        <w:t>be able to demonstrate the knowledge required to perform the tasks outlined in the elements and performance criteria of this unit. This includes knowledge of:</w:t>
      </w:r>
    </w:p>
    <w:p w:rsidR="00000000" w:rsidRPr="00FB6B69" w:rsidP="00FB6B69">
      <w:pPr>
        <w:pStyle w:val="ListBullet"/>
      </w:pPr>
      <w:r w:rsidRPr="00FB6B69">
        <w:t>objectives of legislation, regulations and relevant codes of practice relating to the program ar</w:t>
      </w:r>
      <w:r w:rsidRPr="00FB6B69">
        <w:t>ea, including the roles of relevant regulatory bodies</w:t>
      </w:r>
    </w:p>
    <w:p w:rsidR="00000000" w:rsidRPr="00FB6B69" w:rsidP="00FB6B69">
      <w:pPr>
        <w:pStyle w:val="ListBullet"/>
      </w:pPr>
      <w:r w:rsidRPr="00FB6B69">
        <w:t>existence of International Organization for Standardization (ISO) 22000:2005 Food safety management systems, ISO 22003:2013 Food safety management systems, and ISO 10393:2013 Consumer product recall</w:t>
      </w:r>
    </w:p>
    <w:p w:rsidR="00000000" w:rsidRPr="00FB6B69" w:rsidP="00FB6B69">
      <w:pPr>
        <w:pStyle w:val="ListBullet"/>
      </w:pPr>
      <w:r w:rsidRPr="00FB6B69">
        <w:t>com</w:t>
      </w:r>
      <w:r w:rsidRPr="00FB6B69">
        <w:t>pany policy objectives, related legal requirements and workplace context, including:</w:t>
      </w:r>
    </w:p>
    <w:p w:rsidR="00000000" w:rsidRPr="00FB6B69" w:rsidP="00FB6B69">
      <w:pPr>
        <w:pStyle w:val="ListBullet2"/>
      </w:pPr>
      <w:r w:rsidRPr="00FB6B69">
        <w:t>resource capacity</w:t>
      </w:r>
    </w:p>
    <w:p w:rsidR="00000000" w:rsidRPr="00FB6B69" w:rsidP="00FB6B69">
      <w:pPr>
        <w:pStyle w:val="ListBullet2"/>
      </w:pPr>
      <w:r w:rsidRPr="00FB6B69">
        <w:t>authority levels</w:t>
      </w:r>
    </w:p>
    <w:p w:rsidR="00000000" w:rsidRPr="00FB6B69" w:rsidP="00FB6B69">
      <w:pPr>
        <w:pStyle w:val="ListBullet2"/>
      </w:pPr>
      <w:r w:rsidRPr="00FB6B69">
        <w:t>existing systems and processes, including consultation processes, development/training systems, process improvement, document control and recording requirements</w:t>
      </w:r>
    </w:p>
    <w:p w:rsidR="00000000" w:rsidRPr="00FB6B69" w:rsidP="00FB6B69">
      <w:pPr>
        <w:pStyle w:val="ListBullet"/>
      </w:pPr>
      <w:r w:rsidRPr="00FB6B69">
        <w:t>workplace program objectives, their relationship to policy objectives and to related programs,</w:t>
      </w:r>
      <w:r w:rsidRPr="00FB6B69">
        <w:t xml:space="preserve"> including the benefits of the program for the company, employees and the wider community as appropriate</w:t>
      </w:r>
    </w:p>
    <w:p w:rsidR="00000000" w:rsidRPr="00FB6B69" w:rsidP="00FB6B69">
      <w:pPr>
        <w:pStyle w:val="ListBullet"/>
      </w:pPr>
      <w:r w:rsidRPr="00FB6B69">
        <w:t>the concept of a management system as it applies to the program area</w:t>
      </w:r>
    </w:p>
    <w:p w:rsidR="00000000" w:rsidRPr="00FB6B69" w:rsidP="00FB6B69">
      <w:pPr>
        <w:pStyle w:val="ListBullet"/>
      </w:pPr>
      <w:r w:rsidRPr="00FB6B69">
        <w:t>the advantages and disadvantages of stand-alone and integrated programs, including</w:t>
      </w:r>
      <w:r w:rsidRPr="00FB6B69">
        <w:t>:</w:t>
      </w:r>
    </w:p>
    <w:p w:rsidR="00000000" w:rsidRPr="00FB6B69" w:rsidP="00FB6B69">
      <w:pPr>
        <w:pStyle w:val="ListBullet2"/>
      </w:pPr>
      <w:r w:rsidRPr="00FB6B69">
        <w:t>variations in legal obligations and compliance systems</w:t>
      </w:r>
    </w:p>
    <w:p w:rsidR="00000000" w:rsidRPr="00FB6B69" w:rsidP="00FB6B69">
      <w:pPr>
        <w:pStyle w:val="ListBullet2"/>
      </w:pPr>
      <w:r w:rsidRPr="00FB6B69">
        <w:t>objectives and structure of related policies and programs, as well as consideration of audit trails, as appropriate</w:t>
      </w:r>
    </w:p>
    <w:p w:rsidR="00000000" w:rsidRPr="00FB6B69" w:rsidP="00FB6B69">
      <w:pPr>
        <w:pStyle w:val="ListBullet"/>
      </w:pPr>
      <w:r w:rsidRPr="00FB6B69">
        <w:t>principles and processes for hazard identification, risk assessment and control</w:t>
      </w:r>
    </w:p>
    <w:p w:rsidR="00000000" w:rsidRPr="00FB6B69" w:rsidP="00FB6B69">
      <w:pPr>
        <w:pStyle w:val="ListBullet"/>
      </w:pPr>
      <w:r w:rsidRPr="00FB6B69">
        <w:t>t</w:t>
      </w:r>
      <w:r w:rsidRPr="00FB6B69">
        <w:t>he program area and/or internal and external experts and resources to support design and implementation</w:t>
      </w:r>
    </w:p>
    <w:p w:rsidR="00000000" w:rsidRPr="00FB6B69" w:rsidP="00FB6B69">
      <w:pPr>
        <w:pStyle w:val="ListBullet"/>
      </w:pPr>
      <w:r w:rsidRPr="00FB6B69">
        <w:t>the circumstances, conditions or practices likely to result in program non-compliance, and related control options</w:t>
      </w:r>
    </w:p>
    <w:p w:rsidR="00000000" w:rsidRPr="00FB6B69" w:rsidP="00FB6B69">
      <w:pPr>
        <w:pStyle w:val="ListBullet"/>
      </w:pPr>
      <w:r w:rsidRPr="00FB6B69">
        <w:t xml:space="preserve">technical knowledge and/or access to </w:t>
      </w:r>
      <w:r w:rsidRPr="00FB6B69">
        <w:t>technical expertise to ensure adequacy of risk control methods and response to non-compliance/emergencies</w:t>
      </w:r>
    </w:p>
    <w:p w:rsidR="00000000" w:rsidRPr="00FB6B69" w:rsidP="00FB6B69">
      <w:pPr>
        <w:pStyle w:val="ListBullet"/>
      </w:pPr>
      <w:r w:rsidRPr="00FB6B69">
        <w:t>problem-solving and process improvement techniques and processes</w:t>
      </w:r>
    </w:p>
    <w:p w:rsidR="00000000" w:rsidRPr="00FB6B69" w:rsidP="00FB6B69">
      <w:pPr>
        <w:pStyle w:val="ListBullet"/>
      </w:pPr>
      <w:r w:rsidRPr="00FB6B69">
        <w:t>program review methods and responsibilities, including internal audit arrangements, a</w:t>
      </w:r>
      <w:r w:rsidRPr="00FB6B69">
        <w:t>s well as external audit arrangements, and where the program supports legal compliance obligations, requirements and frequency of audits.</w:t>
      </w:r>
    </w:p>
    <w:p w:rsidR="00000000" w:rsidRPr="00FB6B69" w:rsidP="00FB6B69">
      <w:pPr>
        <w:pStyle w:val="AllowPageBreak"/>
      </w:pPr>
    </w:p>
    <w:p w:rsidR="00000000" w:rsidRPr="00FB6B69" w:rsidP="00FB6B69">
      <w:pPr>
        <w:pStyle w:val="Heading1"/>
      </w:pPr>
      <w:bookmarkStart w:id="4" w:name="O_995411"/>
      <w:bookmarkEnd w:id="4"/>
      <w:r w:rsidRPr="00FB6B69">
        <w:t>Assessment Conditions</w:t>
      </w:r>
    </w:p>
    <w:p w:rsidR="00000000" w:rsidRPr="00FB6B69" w:rsidP="004A672A">
      <w:pPr>
        <w:pStyle w:val="BodyText"/>
      </w:pPr>
      <w:r w:rsidRPr="00FB6B69">
        <w:t xml:space="preserve">Assessment of skills must take place under the following conditions: </w:t>
      </w:r>
    </w:p>
    <w:p w:rsidR="00000000" w:rsidRPr="00FB6B69" w:rsidP="00FB6B69">
      <w:pPr>
        <w:pStyle w:val="ListBullet"/>
      </w:pPr>
      <w:r w:rsidRPr="00FB6B69">
        <w:t>physical conditions:</w:t>
      </w:r>
    </w:p>
    <w:p w:rsidR="00000000" w:rsidRPr="00FB6B69" w:rsidP="00FB6B69">
      <w:pPr>
        <w:pStyle w:val="ListBullet2"/>
      </w:pPr>
      <w:r w:rsidRPr="00FB6B69">
        <w:t xml:space="preserve">skills must be demonstrated in a workplace setting or an environment that accurately represents a real workplace </w:t>
      </w:r>
    </w:p>
    <w:p w:rsidR="00000000" w:rsidRPr="00FB6B69" w:rsidP="00FB6B69">
      <w:pPr>
        <w:pStyle w:val="ListBullet"/>
      </w:pPr>
      <w:r w:rsidRPr="00FB6B69">
        <w:t>resources, equipment and materials:</w:t>
      </w:r>
    </w:p>
    <w:p w:rsidR="00000000" w:rsidRPr="00FB6B69" w:rsidP="00FB6B69">
      <w:pPr>
        <w:pStyle w:val="ListBullet2"/>
      </w:pPr>
      <w:r w:rsidRPr="00FB6B69">
        <w:t>technical support and advice as appropriate to the program area</w:t>
      </w:r>
    </w:p>
    <w:p w:rsidR="00000000" w:rsidRPr="00FB6B69" w:rsidP="00FB6B69">
      <w:pPr>
        <w:pStyle w:val="ListBullet"/>
      </w:pPr>
      <w:r w:rsidRPr="00FB6B69">
        <w:t>specifications:</w:t>
      </w:r>
    </w:p>
    <w:p w:rsidR="00000000" w:rsidRPr="00FB6B69" w:rsidP="00FB6B69">
      <w:pPr>
        <w:pStyle w:val="ListBullet2"/>
      </w:pPr>
      <w:r w:rsidRPr="00FB6B69">
        <w:t>workplace policies, business and performance plans and budgets</w:t>
      </w:r>
    </w:p>
    <w:p w:rsidR="00000000" w:rsidRPr="00FB6B69" w:rsidP="00FB6B69">
      <w:pPr>
        <w:pStyle w:val="ListBullet2"/>
      </w:pPr>
      <w:r w:rsidRPr="00FB6B69">
        <w:t>relevant legislation, codes of practice and agreements</w:t>
      </w:r>
    </w:p>
    <w:p w:rsidR="00000000" w:rsidRPr="00FB6B69" w:rsidP="00FB6B69">
      <w:pPr>
        <w:pStyle w:val="ListBullet2"/>
      </w:pPr>
      <w:r w:rsidRPr="00FB6B69">
        <w:t>workplace procedures and related management systems relevant to the program area.</w:t>
      </w:r>
    </w:p>
    <w:p w:rsidR="00000000" w:rsidRPr="00FB6B69" w:rsidP="004A672A">
      <w:pPr>
        <w:pStyle w:val="BodyText"/>
      </w:pPr>
      <w:r w:rsidRPr="00FB6B69">
        <w:t>Assessors of this unit must satisfy the requirements for</w:t>
      </w:r>
      <w:r w:rsidRPr="00FB6B69">
        <w:t xml:space="preserve"> assessors in applicable vocational education and training legislation, frameworks and/or standards.</w:t>
      </w:r>
    </w:p>
    <w:p w:rsidR="00000000" w:rsidRPr="00FB6B69" w:rsidP="00FB6B69">
      <w:pPr>
        <w:pStyle w:val="Heading1"/>
      </w:pPr>
      <w:bookmarkStart w:id="5" w:name="O_995414"/>
      <w:bookmarkEnd w:id="5"/>
      <w:r w:rsidRPr="00FB6B69">
        <w:t>Links</w:t>
      </w:r>
    </w:p>
    <w:p w:rsidR="00000000" w:rsidRPr="00FB6B69" w:rsidP="004A672A">
      <w:pPr>
        <w:pStyle w:val="BodyText"/>
      </w:pPr>
      <w:r w:rsidRPr="00FB6B6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26E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6B69" w:rsidP="00FB6B69"/>
    <w:sectPr w:rsidSect="00FB6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69" w:rsidRPr="004A672A" w:rsidP="004A6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2A" w:rsidP="00FB6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672A" w:rsidP="00FB6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672A" w:rsidP="00FB6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B69" w:rsidRPr="004A672A" w:rsidP="004A6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2A" w:rsidRPr="002D2AF8" w:rsidP="00FB6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FBPPPL5001 Design and maintain programs to support legal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A672A" w:rsidP="00FB6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F8F9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6EE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30C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B69"/>
  </w:style>
  <w:style w:type="character" w:customStyle="1" w:styleId="Heading1Char">
    <w:name w:val="Heading 1 Char"/>
    <w:basedOn w:val="DefaultParagraphFont"/>
    <w:link w:val="Heading1"/>
    <w:rsid w:val="00FB6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B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B69"/>
    <w:rPr>
      <w:b/>
      <w:spacing w:val="0"/>
    </w:rPr>
  </w:style>
  <w:style w:type="paragraph" w:styleId="ListBullet2">
    <w:name w:val="List Bullet 2"/>
    <w:basedOn w:val="List2"/>
    <w:rsid w:val="00FB6B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6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6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B69"/>
    <w:rPr>
      <w:i/>
    </w:rPr>
  </w:style>
  <w:style w:type="paragraph" w:styleId="Caption">
    <w:name w:val="caption"/>
    <w:basedOn w:val="BodyText"/>
    <w:next w:val="Normal"/>
    <w:qFormat/>
    <w:rsid w:val="00FB6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B69"/>
  </w:style>
  <w:style w:type="paragraph" w:styleId="TableofFigures">
    <w:name w:val="table of figures"/>
    <w:basedOn w:val="Normal"/>
    <w:next w:val="Normal"/>
    <w:semiHidden/>
    <w:rsid w:val="00FB6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B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6B69"/>
    <w:rPr>
      <w:rFonts w:ascii="Wingdings" w:hAnsi="Wingdings"/>
    </w:rPr>
  </w:style>
  <w:style w:type="paragraph" w:customStyle="1" w:styleId="TableHeading">
    <w:name w:val="Table Heading"/>
    <w:basedOn w:val="HeadingBase"/>
    <w:rsid w:val="00FB6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B69"/>
    <w:rPr>
      <w:color w:val="0033CC"/>
      <w:u w:val="none"/>
    </w:rPr>
  </w:style>
  <w:style w:type="paragraph" w:customStyle="1" w:styleId="BodyTextRight">
    <w:name w:val="Body Text Right"/>
    <w:basedOn w:val="BodyText"/>
    <w:rsid w:val="00FB6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B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B69"/>
    <w:rPr>
      <w:sz w:val="32"/>
    </w:rPr>
  </w:style>
  <w:style w:type="paragraph" w:customStyle="1" w:styleId="HeadingProcedure">
    <w:name w:val="Heading Procedure"/>
    <w:basedOn w:val="HeadingBase"/>
    <w:next w:val="Normal"/>
    <w:rsid w:val="00FB6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B69"/>
    <w:pPr>
      <w:spacing w:before="60" w:after="60"/>
    </w:pPr>
  </w:style>
  <w:style w:type="paragraph" w:styleId="ListContinue">
    <w:name w:val="List Continue"/>
    <w:basedOn w:val="List"/>
    <w:rsid w:val="00FB6B69"/>
    <w:pPr>
      <w:ind w:firstLine="0"/>
    </w:pPr>
  </w:style>
  <w:style w:type="paragraph" w:customStyle="1" w:styleId="ListNote">
    <w:name w:val="List Note"/>
    <w:basedOn w:val="List"/>
    <w:rsid w:val="00FB6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B69"/>
    <w:rPr>
      <w:rFonts w:ascii="Courier New" w:hAnsi="Courier New"/>
    </w:rPr>
  </w:style>
  <w:style w:type="paragraph" w:customStyle="1" w:styleId="NoteBullet">
    <w:name w:val="Note Bullet"/>
    <w:basedOn w:val="Note"/>
    <w:rsid w:val="00FB6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B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6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B69"/>
    <w:rPr>
      <w:b/>
      <w:smallCaps/>
    </w:rPr>
  </w:style>
  <w:style w:type="paragraph" w:customStyle="1" w:styleId="TableListNumber">
    <w:name w:val="Table List Number"/>
    <w:basedOn w:val="ListNumber"/>
    <w:rsid w:val="00FB6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B69"/>
    <w:pPr>
      <w:numPr>
        <w:numId w:val="9"/>
      </w:numPr>
    </w:pPr>
  </w:style>
  <w:style w:type="paragraph" w:customStyle="1" w:styleId="ListAlpha2">
    <w:name w:val="List Alpha 2"/>
    <w:basedOn w:val="List2"/>
    <w:rsid w:val="00FB6B69"/>
    <w:pPr>
      <w:numPr>
        <w:numId w:val="8"/>
      </w:numPr>
    </w:pPr>
  </w:style>
  <w:style w:type="paragraph" w:styleId="List2">
    <w:name w:val="List 2"/>
    <w:basedOn w:val="BodyText"/>
    <w:rsid w:val="00FB6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B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B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6B69"/>
    <w:pPr>
      <w:numPr>
        <w:numId w:val="4"/>
      </w:numPr>
    </w:pPr>
  </w:style>
  <w:style w:type="paragraph" w:styleId="ListContinue2">
    <w:name w:val="List Continue 2"/>
    <w:basedOn w:val="List2"/>
    <w:rsid w:val="00FB6B69"/>
    <w:pPr>
      <w:ind w:firstLine="0"/>
    </w:pPr>
  </w:style>
  <w:style w:type="paragraph" w:styleId="ListContinue3">
    <w:name w:val="List Continue 3"/>
    <w:basedOn w:val="List3"/>
    <w:rsid w:val="00FB6B69"/>
    <w:pPr>
      <w:ind w:left="1021" w:firstLine="0"/>
    </w:pPr>
  </w:style>
  <w:style w:type="paragraph" w:styleId="ListContinue4">
    <w:name w:val="List Continue 4"/>
    <w:basedOn w:val="List4"/>
    <w:rsid w:val="00FB6B69"/>
    <w:pPr>
      <w:ind w:firstLine="0"/>
    </w:pPr>
  </w:style>
  <w:style w:type="paragraph" w:styleId="ListContinue5">
    <w:name w:val="List Continue 5"/>
    <w:basedOn w:val="List5"/>
    <w:rsid w:val="00FB6B69"/>
    <w:pPr>
      <w:ind w:firstLine="0"/>
    </w:pPr>
  </w:style>
  <w:style w:type="paragraph" w:styleId="ListNumber3">
    <w:name w:val="List Number 3"/>
    <w:basedOn w:val="List3"/>
    <w:rsid w:val="00FB6B69"/>
    <w:pPr>
      <w:numPr>
        <w:numId w:val="5"/>
      </w:numPr>
    </w:pPr>
  </w:style>
  <w:style w:type="paragraph" w:styleId="ListNumber4">
    <w:name w:val="List Number 4"/>
    <w:basedOn w:val="List4"/>
    <w:rsid w:val="00FB6B69"/>
    <w:pPr>
      <w:numPr>
        <w:numId w:val="6"/>
      </w:numPr>
    </w:pPr>
  </w:style>
  <w:style w:type="paragraph" w:styleId="ListNumber5">
    <w:name w:val="List Number 5"/>
    <w:basedOn w:val="List5"/>
    <w:rsid w:val="00FB6B69"/>
    <w:pPr>
      <w:numPr>
        <w:numId w:val="7"/>
      </w:numPr>
    </w:pPr>
  </w:style>
  <w:style w:type="paragraph" w:styleId="BlockText">
    <w:name w:val="Block Text"/>
    <w:basedOn w:val="Normal"/>
    <w:rsid w:val="00FB6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B69"/>
    <w:rPr>
      <w:sz w:val="16"/>
      <w:vertAlign w:val="superscript"/>
    </w:rPr>
  </w:style>
  <w:style w:type="character" w:customStyle="1" w:styleId="Symbols">
    <w:name w:val="Symbols"/>
    <w:basedOn w:val="DefaultParagraphFont"/>
    <w:rsid w:val="00FB6B69"/>
    <w:rPr>
      <w:rFonts w:ascii="Symbol" w:hAnsi="Symbol"/>
    </w:rPr>
  </w:style>
  <w:style w:type="character" w:customStyle="1" w:styleId="MenuOptions">
    <w:name w:val="Menu Options"/>
    <w:basedOn w:val="DefaultParagraphFont"/>
    <w:rsid w:val="00FB6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B69"/>
    <w:rPr>
      <w:b/>
    </w:rPr>
  </w:style>
  <w:style w:type="character" w:customStyle="1" w:styleId="Underlined">
    <w:name w:val="Underlined"/>
    <w:basedOn w:val="DefaultParagraphFont"/>
    <w:rsid w:val="00FB6B69"/>
    <w:rPr>
      <w:u w:val="single"/>
    </w:rPr>
  </w:style>
  <w:style w:type="paragraph" w:customStyle="1" w:styleId="TableBodyTextRight">
    <w:name w:val="Table Body Text Right"/>
    <w:basedOn w:val="TableBodyText"/>
    <w:rsid w:val="00FB6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B69"/>
    <w:rPr>
      <w:sz w:val="18"/>
    </w:rPr>
  </w:style>
  <w:style w:type="paragraph" w:customStyle="1" w:styleId="BodySmallRight">
    <w:name w:val="Body Small Right"/>
    <w:basedOn w:val="BodyTextRight"/>
    <w:rsid w:val="00FB6B69"/>
    <w:rPr>
      <w:sz w:val="18"/>
      <w:szCs w:val="18"/>
    </w:rPr>
  </w:style>
  <w:style w:type="paragraph" w:customStyle="1" w:styleId="MarginEdition">
    <w:name w:val="Margin Edition"/>
    <w:basedOn w:val="MarginNote"/>
    <w:rsid w:val="00FB6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B69"/>
    <w:rPr>
      <w:sz w:val="2"/>
      <w:szCs w:val="2"/>
    </w:rPr>
  </w:style>
  <w:style w:type="character" w:customStyle="1" w:styleId="Small">
    <w:name w:val="Small"/>
    <w:basedOn w:val="DefaultParagraphFont"/>
    <w:rsid w:val="00FB6B69"/>
    <w:rPr>
      <w:sz w:val="16"/>
    </w:rPr>
  </w:style>
  <w:style w:type="paragraph" w:customStyle="1" w:styleId="WideTable">
    <w:name w:val="Wide Table"/>
    <w:basedOn w:val="Normal"/>
    <w:rsid w:val="00FB6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B69"/>
  </w:style>
  <w:style w:type="paragraph" w:styleId="Quote">
    <w:name w:val="Quote"/>
    <w:basedOn w:val="Heading1"/>
    <w:link w:val="QuoteChar"/>
    <w:qFormat/>
    <w:rsid w:val="00FB6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B69"/>
    <w:pPr>
      <w:pageBreakBefore/>
    </w:pPr>
  </w:style>
  <w:style w:type="paragraph" w:customStyle="1" w:styleId="Border">
    <w:name w:val="Border"/>
    <w:basedOn w:val="Normal"/>
    <w:qFormat/>
    <w:rsid w:val="00FB6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B69"/>
    <w:rPr>
      <w:u w:val="single"/>
    </w:rPr>
  </w:style>
  <w:style w:type="character" w:customStyle="1" w:styleId="BoldandItalics">
    <w:name w:val="Bold and Italics"/>
    <w:qFormat/>
    <w:rsid w:val="00FB6B69"/>
    <w:rPr>
      <w:b/>
      <w:i/>
      <w:u w:val="none"/>
    </w:rPr>
  </w:style>
  <w:style w:type="paragraph" w:styleId="BalloonText">
    <w:name w:val="Balloon Text"/>
    <w:basedOn w:val="Normal"/>
    <w:link w:val="BalloonTextChar"/>
    <w:rsid w:val="00FB6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B69"/>
    <w:pPr>
      <w:spacing w:before="0" w:after="0"/>
    </w:pPr>
  </w:style>
  <w:style w:type="paragraph" w:customStyle="1" w:styleId="BodyTextBold">
    <w:name w:val="Body Text Bold"/>
    <w:basedOn w:val="BodyText"/>
    <w:qFormat/>
    <w:rsid w:val="00FB6B69"/>
    <w:rPr>
      <w:b/>
    </w:rPr>
  </w:style>
  <w:style w:type="character" w:styleId="Hyperlink">
    <w:name w:val="Hyperlink"/>
    <w:basedOn w:val="DefaultParagraphFont"/>
    <w:uiPriority w:val="99"/>
    <w:unhideWhenUsed/>
    <w:rsid w:val="004A6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3737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FBPPPL5001 Design and maintain programs to support legal compliance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