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3A04" w:rsidP="00FD3A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FBPPPL3008 Establish compliance requirements for work area</w:t>
      </w:r>
      <w:r>
        <w:fldChar w:fldCharType="end"/>
      </w:r>
    </w:p>
    <w:p w:rsidR="00FD3A04" w:rsidP="00FD3A04">
      <w:pPr>
        <w:pStyle w:val="Version"/>
        <w:sectPr w:rsidSect="00AE4A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4A59" w:rsidP="00AE4A59">
      <w:pPr>
        <w:pStyle w:val="SuperHeading"/>
      </w:pPr>
      <w:r w:rsidRPr="00AE4A59">
        <w:t>Assessment Requirements for FBPPPL3008 Establish compliance requirements for work area</w:t>
      </w:r>
    </w:p>
    <w:p w:rsidR="00000000" w:rsidRPr="00AE4A59" w:rsidP="00AE4A59">
      <w:pPr>
        <w:pStyle w:val="Heading1"/>
      </w:pPr>
      <w:bookmarkStart w:id="1" w:name="O_1185059"/>
      <w:bookmarkEnd w:id="1"/>
      <w:r w:rsidRPr="00AE4A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4A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59">
            <w:pPr>
              <w:pStyle w:val="BodyTextBold"/>
              <w:rPr>
                <w:lang w:val="en-NZ"/>
              </w:rPr>
            </w:pPr>
            <w:r w:rsidRPr="00AE4A5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59">
            <w:pPr>
              <w:pStyle w:val="BodyTextBold"/>
              <w:rPr>
                <w:lang w:val="en-NZ"/>
              </w:rPr>
            </w:pPr>
            <w:r w:rsidRPr="00AE4A59">
              <w:t>Comments</w:t>
            </w:r>
          </w:p>
        </w:tc>
      </w:tr>
      <w:tr w:rsidTr="00AE4A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59">
            <w:pPr>
              <w:pStyle w:val="BodyText"/>
              <w:rPr>
                <w:lang w:val="en-NZ"/>
              </w:rPr>
            </w:pPr>
            <w:r w:rsidRPr="00AE4A5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59" w:rsidP="00AE4A59">
            <w:pPr>
              <w:pStyle w:val="BodyText"/>
            </w:pPr>
            <w:r w:rsidRPr="00AE4A59">
              <w:t>This version released with FBP Food, Beverage and Pharmaceutical Training Package Version 6.0.</w:t>
            </w:r>
          </w:p>
        </w:tc>
      </w:tr>
    </w:tbl>
    <w:p w:rsidR="00000000" w:rsidRPr="00AE4A59" w:rsidP="00AE4A59">
      <w:pPr>
        <w:pStyle w:val="BodyText"/>
      </w:pPr>
    </w:p>
    <w:p w:rsidR="00000000" w:rsidRPr="00AE4A59" w:rsidP="00AE4A59">
      <w:pPr>
        <w:pStyle w:val="AllowPageBreak"/>
      </w:pPr>
    </w:p>
    <w:p w:rsidR="00000000" w:rsidRPr="00AE4A59" w:rsidP="00AE4A59">
      <w:pPr>
        <w:pStyle w:val="Heading1"/>
      </w:pPr>
      <w:bookmarkStart w:id="2" w:name="O_1185060"/>
      <w:bookmarkEnd w:id="2"/>
      <w:r w:rsidRPr="00AE4A59">
        <w:t>Performance Evidence</w:t>
      </w:r>
    </w:p>
    <w:p w:rsidR="00000000" w:rsidRPr="00AE4A59" w:rsidP="00FD3A04">
      <w:pPr>
        <w:pStyle w:val="BodyText"/>
      </w:pPr>
      <w:r w:rsidRPr="00AE4A59">
        <w:t>An individual demonstrating competency must satisfy all of the elements and performance criteria in this unit.</w:t>
      </w:r>
    </w:p>
    <w:p w:rsidR="00000000" w:rsidRPr="00AE4A59" w:rsidP="00FD3A04">
      <w:pPr>
        <w:pStyle w:val="BodyText"/>
      </w:pPr>
      <w:r w:rsidRPr="00AE4A59">
        <w:t>There must be evidence that the individual has established compliance requirements for at least one work a</w:t>
      </w:r>
      <w:r w:rsidRPr="00AE4A59">
        <w:t>rea, including:</w:t>
      </w:r>
    </w:p>
    <w:p w:rsidR="00000000" w:rsidRPr="00AE4A59" w:rsidP="00AE4A59">
      <w:pPr>
        <w:pStyle w:val="ListBullet"/>
      </w:pPr>
      <w:r w:rsidRPr="00AE4A59">
        <w:t>identifying what the current compliance requirements are for work area</w:t>
      </w:r>
    </w:p>
    <w:p w:rsidR="00000000" w:rsidRPr="00AE4A59" w:rsidP="00AE4A59">
      <w:pPr>
        <w:pStyle w:val="ListBullet"/>
      </w:pPr>
      <w:r w:rsidRPr="00AE4A59">
        <w:t>identifying any improvements that could be made to ensure compliance with relevant regulations and industry standards.</w:t>
      </w:r>
    </w:p>
    <w:p w:rsidR="00000000" w:rsidRPr="00AE4A59" w:rsidP="00AE4A59">
      <w:pPr>
        <w:pStyle w:val="AllowPageBreak"/>
      </w:pPr>
    </w:p>
    <w:p w:rsidR="00000000" w:rsidRPr="00AE4A59" w:rsidP="00AE4A59">
      <w:pPr>
        <w:pStyle w:val="Heading1"/>
      </w:pPr>
      <w:bookmarkStart w:id="3" w:name="O_1185061"/>
      <w:bookmarkEnd w:id="3"/>
      <w:r w:rsidRPr="00AE4A59">
        <w:t>Knowledge Evidence</w:t>
      </w:r>
    </w:p>
    <w:p w:rsidR="00000000" w:rsidRPr="00AE4A59" w:rsidP="00FD3A04">
      <w:pPr>
        <w:pStyle w:val="BodyText"/>
      </w:pPr>
      <w:r w:rsidRPr="00AE4A59">
        <w:t>An individual must be able to demonstrate the knowledge required to perform the tasks outlined in the elements and performance criteria of this unit. This includes knowledge of:</w:t>
      </w:r>
    </w:p>
    <w:p w:rsidR="00000000" w:rsidRPr="00AE4A59" w:rsidP="00AE4A59">
      <w:pPr>
        <w:pStyle w:val="ListBullet"/>
      </w:pPr>
      <w:r w:rsidRPr="00AE4A59">
        <w:t>legislation, regulations, codes of practice and certification requirements re</w:t>
      </w:r>
      <w:r w:rsidRPr="00AE4A59">
        <w:t>levant to work area</w:t>
      </w:r>
    </w:p>
    <w:p w:rsidR="00000000" w:rsidRPr="00AE4A59" w:rsidP="00AE4A59">
      <w:pPr>
        <w:pStyle w:val="ListBullet"/>
      </w:pPr>
      <w:r w:rsidRPr="00AE4A59">
        <w:t>purpose and intent of compliance in the workplace</w:t>
      </w:r>
    </w:p>
    <w:p w:rsidR="00000000" w:rsidRPr="00AE4A59" w:rsidP="00AE4A59">
      <w:pPr>
        <w:pStyle w:val="ListBullet"/>
      </w:pPr>
      <w:r w:rsidRPr="00AE4A59">
        <w:t>operating procedures, specifications and other workplace information relevant to ensuring compliance for own work area</w:t>
      </w:r>
    </w:p>
    <w:p w:rsidR="00000000" w:rsidRPr="00AE4A59" w:rsidP="00AE4A59">
      <w:pPr>
        <w:pStyle w:val="ListBullet"/>
      </w:pPr>
      <w:r w:rsidRPr="00AE4A59">
        <w:t>requirements for establishing, monitoring and updating procedures</w:t>
      </w:r>
    </w:p>
    <w:p w:rsidR="00000000" w:rsidRPr="00AE4A59" w:rsidP="00AE4A59">
      <w:pPr>
        <w:pStyle w:val="ListBullet"/>
      </w:pPr>
      <w:r w:rsidRPr="00AE4A59">
        <w:t>e</w:t>
      </w:r>
      <w:r w:rsidRPr="00AE4A59">
        <w:t>ffect of work procedures on compliance factors in the work area</w:t>
      </w:r>
    </w:p>
    <w:p w:rsidR="00000000" w:rsidRPr="00AE4A59" w:rsidP="00AE4A59">
      <w:pPr>
        <w:pStyle w:val="ListBullet"/>
      </w:pPr>
      <w:r w:rsidRPr="00AE4A59">
        <w:t>compliance policies and requirements relevant to own work area, including:</w:t>
      </w:r>
    </w:p>
    <w:p w:rsidR="00000000" w:rsidRPr="00AE4A59" w:rsidP="00AE4A59">
      <w:pPr>
        <w:pStyle w:val="ListBullet2"/>
      </w:pPr>
      <w:r w:rsidRPr="00AE4A59">
        <w:t>work health and safety</w:t>
      </w:r>
    </w:p>
    <w:p w:rsidR="00000000" w:rsidRPr="00AE4A59" w:rsidP="00AE4A59">
      <w:pPr>
        <w:pStyle w:val="ListBullet2"/>
      </w:pPr>
      <w:r w:rsidRPr="00AE4A59">
        <w:t>food safety, including Food Standards Australia New Zealand (FSANZ)</w:t>
      </w:r>
    </w:p>
    <w:p w:rsidR="00000000" w:rsidRPr="00AE4A59" w:rsidP="00AE4A59">
      <w:pPr>
        <w:pStyle w:val="ListBullet2"/>
      </w:pPr>
      <w:r w:rsidRPr="00AE4A59">
        <w:t>hazard analysis and criti</w:t>
      </w:r>
      <w:r w:rsidRPr="00AE4A59">
        <w:t xml:space="preserve">cal control points (HACCP) </w:t>
      </w:r>
    </w:p>
    <w:p w:rsidR="00000000" w:rsidRPr="00AE4A59" w:rsidP="00AE4A59">
      <w:pPr>
        <w:pStyle w:val="ListBullet2"/>
      </w:pPr>
      <w:r w:rsidRPr="00AE4A59">
        <w:t>environmental management</w:t>
      </w:r>
    </w:p>
    <w:p w:rsidR="00000000" w:rsidRPr="00AE4A59" w:rsidP="00AE4A59">
      <w:pPr>
        <w:pStyle w:val="ListBullet2"/>
      </w:pPr>
      <w:r w:rsidRPr="00AE4A59">
        <w:t>biosecurity</w:t>
      </w:r>
    </w:p>
    <w:p w:rsidR="00000000" w:rsidRPr="00AE4A59" w:rsidP="00AE4A59">
      <w:pPr>
        <w:pStyle w:val="ListBullet2"/>
      </w:pPr>
      <w:r w:rsidRPr="00AE4A59">
        <w:t>traceability</w:t>
      </w:r>
    </w:p>
    <w:p w:rsidR="00000000" w:rsidRPr="00AE4A59" w:rsidP="00AE4A59">
      <w:pPr>
        <w:pStyle w:val="ListBullet2"/>
      </w:pPr>
      <w:r w:rsidRPr="00AE4A59">
        <w:t>client certification</w:t>
      </w:r>
    </w:p>
    <w:p w:rsidR="00000000" w:rsidRPr="00AE4A59" w:rsidP="00AE4A59">
      <w:pPr>
        <w:pStyle w:val="ListBullet"/>
      </w:pPr>
      <w:r w:rsidRPr="00AE4A59">
        <w:t>data assessment methods relevant to monitoring compliance of own work area</w:t>
      </w:r>
    </w:p>
    <w:p w:rsidR="00000000" w:rsidRPr="00AE4A59" w:rsidP="00AE4A59">
      <w:pPr>
        <w:pStyle w:val="ListBullet"/>
      </w:pPr>
      <w:r w:rsidRPr="00AE4A59">
        <w:t>internal and external support personnel as sources for compliance requirements</w:t>
      </w:r>
    </w:p>
    <w:p w:rsidR="00000000" w:rsidRPr="00AE4A59" w:rsidP="00AE4A59">
      <w:pPr>
        <w:pStyle w:val="ListBullet"/>
      </w:pPr>
      <w:r w:rsidRPr="00AE4A59">
        <w:t>procedures to follow for non-compliance events</w:t>
      </w:r>
    </w:p>
    <w:p w:rsidR="00000000" w:rsidRPr="00AE4A59" w:rsidP="00AE4A59">
      <w:pPr>
        <w:pStyle w:val="ListBullet"/>
      </w:pPr>
      <w:r w:rsidRPr="00AE4A59">
        <w:t>consequences of non-compliance in the workplace.</w:t>
      </w:r>
    </w:p>
    <w:p w:rsidR="00000000" w:rsidRPr="00AE4A59" w:rsidP="00AE4A59">
      <w:pPr>
        <w:pStyle w:val="AllowPageBreak"/>
      </w:pPr>
    </w:p>
    <w:p w:rsidR="00000000" w:rsidRPr="00AE4A59" w:rsidP="00AE4A59">
      <w:pPr>
        <w:pStyle w:val="Heading1"/>
      </w:pPr>
      <w:bookmarkStart w:id="4" w:name="O_1185062"/>
      <w:bookmarkEnd w:id="4"/>
      <w:r w:rsidRPr="00AE4A59">
        <w:t>Assessment Conditions</w:t>
      </w:r>
    </w:p>
    <w:p w:rsidR="00000000" w:rsidRPr="00AE4A59" w:rsidP="00FD3A04">
      <w:pPr>
        <w:pStyle w:val="BodyText"/>
      </w:pPr>
      <w:r w:rsidRPr="00AE4A59">
        <w:t>Assessment of the skills in this unit of competency must take place under the following conditions:</w:t>
      </w:r>
    </w:p>
    <w:p w:rsidR="00000000" w:rsidRPr="00AE4A59" w:rsidP="00AE4A59">
      <w:pPr>
        <w:pStyle w:val="ListBullet"/>
      </w:pPr>
      <w:r w:rsidRPr="00AE4A59">
        <w:t>physical condition</w:t>
      </w:r>
      <w:r w:rsidRPr="00AE4A59">
        <w:t>s:</w:t>
      </w:r>
    </w:p>
    <w:p w:rsidR="00000000" w:rsidRPr="00AE4A59" w:rsidP="00AE4A59">
      <w:pPr>
        <w:pStyle w:val="ListBullet2"/>
      </w:pPr>
      <w:r w:rsidRPr="00AE4A59">
        <w:t>a workplace or an environment that accurately represents workplace conditions</w:t>
      </w:r>
    </w:p>
    <w:p w:rsidR="00000000" w:rsidRPr="00AE4A59" w:rsidP="00AE4A59">
      <w:pPr>
        <w:pStyle w:val="ListBullet"/>
      </w:pPr>
      <w:r w:rsidRPr="00AE4A59">
        <w:t>resources, equipment and materials:</w:t>
      </w:r>
    </w:p>
    <w:p w:rsidR="00000000" w:rsidRPr="00AE4A59" w:rsidP="00AE4A59">
      <w:pPr>
        <w:pStyle w:val="ListBullet2"/>
      </w:pPr>
      <w:r w:rsidRPr="00AE4A59">
        <w:t>information systems and data collection technology</w:t>
      </w:r>
    </w:p>
    <w:p w:rsidR="00000000" w:rsidRPr="00AE4A59" w:rsidP="00AE4A59">
      <w:pPr>
        <w:pStyle w:val="ListBullet2"/>
      </w:pPr>
      <w:r w:rsidRPr="00AE4A59">
        <w:t>food processing operations to collect data and observe compliance</w:t>
      </w:r>
    </w:p>
    <w:p w:rsidR="00000000" w:rsidRPr="00AE4A59" w:rsidP="00AE4A59">
      <w:pPr>
        <w:pStyle w:val="ListBullet"/>
      </w:pPr>
      <w:r w:rsidRPr="00AE4A59">
        <w:t>specifications:</w:t>
      </w:r>
    </w:p>
    <w:p w:rsidR="00000000" w:rsidRPr="00AE4A59" w:rsidP="00AE4A59">
      <w:pPr>
        <w:pStyle w:val="ListBullet2"/>
      </w:pPr>
      <w:r w:rsidRPr="00AE4A59">
        <w:t>workplace procedures and industry standards relevant to the business and work area</w:t>
      </w:r>
    </w:p>
    <w:p w:rsidR="00000000" w:rsidRPr="00AE4A59" w:rsidP="00AE4A59">
      <w:pPr>
        <w:pStyle w:val="ListBullet2"/>
      </w:pPr>
      <w:r w:rsidRPr="00AE4A59">
        <w:t>relevant legislation, industry standards and codes of practice.</w:t>
      </w:r>
    </w:p>
    <w:p w:rsidR="00000000" w:rsidRPr="00AE4A59" w:rsidP="00AE4A59">
      <w:pPr>
        <w:pStyle w:val="ListBullet"/>
      </w:pPr>
      <w:r w:rsidRPr="00AE4A59">
        <w:t>relationships:</w:t>
      </w:r>
    </w:p>
    <w:p w:rsidR="00000000" w:rsidRPr="00AE4A59" w:rsidP="00AE4A59">
      <w:pPr>
        <w:pStyle w:val="ListBullet2"/>
      </w:pPr>
      <w:r w:rsidRPr="00AE4A59">
        <w:t>team members.</w:t>
      </w:r>
    </w:p>
    <w:p w:rsidR="00000000" w:rsidRPr="00AE4A59" w:rsidP="00FD3A04">
      <w:pPr>
        <w:pStyle w:val="BodyText"/>
      </w:pPr>
      <w:r w:rsidRPr="00AE4A59">
        <w:t>Assessors of this unit must satisfy the requirements for assessors in applicab</w:t>
      </w:r>
      <w:r w:rsidRPr="00AE4A59">
        <w:t>le vocational education and training legislation, frameworks and/or standards.</w:t>
      </w:r>
    </w:p>
    <w:p w:rsidR="00000000" w:rsidRPr="00AE4A59" w:rsidP="00AE4A59">
      <w:pPr>
        <w:pStyle w:val="Heading1"/>
      </w:pPr>
      <w:bookmarkStart w:id="5" w:name="O_1185065"/>
      <w:bookmarkEnd w:id="5"/>
      <w:r w:rsidRPr="00AE4A59">
        <w:t>Links</w:t>
      </w:r>
    </w:p>
    <w:p w:rsidR="00000000" w:rsidRPr="00AE4A59" w:rsidP="00FD3A04">
      <w:pPr>
        <w:pStyle w:val="BodyText"/>
      </w:pPr>
      <w:r w:rsidRPr="00AE4A5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6505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E4A59" w:rsidP="00AE4A59"/>
    <w:sectPr w:rsidSect="00AE4A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59" w:rsidRPr="00FD3A04" w:rsidP="00FD3A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04" w:rsidP="00AE4A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3A04" w:rsidP="00AE4A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D3A04" w:rsidP="00AE4A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4A59" w:rsidRPr="00FD3A04" w:rsidP="00FD3A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04" w:rsidRPr="002D2AF8" w:rsidP="00AE4A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FBPPPL3008 Establish compliance requirements for work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FD3A04" w:rsidP="00AE4A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F010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1822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3EC6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A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4A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A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A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A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A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A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A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A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A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A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A59"/>
  </w:style>
  <w:style w:type="character" w:customStyle="1" w:styleId="Heading1Char">
    <w:name w:val="Heading 1 Char"/>
    <w:basedOn w:val="DefaultParagraphFont"/>
    <w:link w:val="Heading1"/>
    <w:rsid w:val="00AE4A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4A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A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4A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4A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4A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4A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4A59"/>
    <w:rPr>
      <w:b/>
    </w:rPr>
  </w:style>
  <w:style w:type="character" w:customStyle="1" w:styleId="Heading2Char">
    <w:name w:val="Heading 2 Char"/>
    <w:basedOn w:val="DefaultParagraphFont"/>
    <w:link w:val="Heading2"/>
    <w:rsid w:val="00AE4A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A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A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A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A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A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4A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4A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4A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A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A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A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A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4A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A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4A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A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A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4A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4A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4A59"/>
    <w:rPr>
      <w:b/>
      <w:spacing w:val="0"/>
    </w:rPr>
  </w:style>
  <w:style w:type="paragraph" w:customStyle="1" w:styleId="SuperTitle">
    <w:name w:val="SuperTitle"/>
    <w:basedOn w:val="Title"/>
    <w:rsid w:val="00AE4A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A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A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4A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A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4A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A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4A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A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A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A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A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4A59"/>
    <w:rPr>
      <w:i/>
    </w:rPr>
  </w:style>
  <w:style w:type="paragraph" w:styleId="Caption">
    <w:name w:val="caption"/>
    <w:basedOn w:val="BodyText"/>
    <w:next w:val="Normal"/>
    <w:qFormat/>
    <w:rsid w:val="00AE4A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A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A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A59"/>
  </w:style>
  <w:style w:type="paragraph" w:styleId="TableofFigures">
    <w:name w:val="table of figures"/>
    <w:basedOn w:val="Normal"/>
    <w:next w:val="Normal"/>
    <w:semiHidden/>
    <w:rsid w:val="00AE4A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A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4A59"/>
    <w:rPr>
      <w:rFonts w:ascii="Wingdings" w:hAnsi="Wingdings"/>
    </w:rPr>
  </w:style>
  <w:style w:type="paragraph" w:customStyle="1" w:styleId="TableHeading">
    <w:name w:val="Table Heading"/>
    <w:basedOn w:val="HeadingBase"/>
    <w:rsid w:val="00AE4A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A59"/>
    <w:rPr>
      <w:color w:val="0033CC"/>
      <w:u w:val="none"/>
    </w:rPr>
  </w:style>
  <w:style w:type="paragraph" w:customStyle="1" w:styleId="BodyTextRight">
    <w:name w:val="Body Text Right"/>
    <w:basedOn w:val="BodyText"/>
    <w:rsid w:val="00AE4A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A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A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A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A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A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4A59"/>
    <w:rPr>
      <w:sz w:val="32"/>
    </w:rPr>
  </w:style>
  <w:style w:type="paragraph" w:customStyle="1" w:styleId="HeadingProcedure">
    <w:name w:val="Heading Procedure"/>
    <w:basedOn w:val="HeadingBase"/>
    <w:next w:val="Normal"/>
    <w:rsid w:val="00AE4A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4A59"/>
    <w:pPr>
      <w:spacing w:before="60" w:after="60"/>
    </w:pPr>
  </w:style>
  <w:style w:type="paragraph" w:styleId="ListContinue">
    <w:name w:val="List Continue"/>
    <w:basedOn w:val="List"/>
    <w:rsid w:val="00AE4A59"/>
    <w:pPr>
      <w:ind w:firstLine="0"/>
    </w:pPr>
  </w:style>
  <w:style w:type="paragraph" w:customStyle="1" w:styleId="ListNote">
    <w:name w:val="List Note"/>
    <w:basedOn w:val="List"/>
    <w:rsid w:val="00AE4A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A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A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A59"/>
    <w:rPr>
      <w:rFonts w:ascii="Courier New" w:hAnsi="Courier New"/>
    </w:rPr>
  </w:style>
  <w:style w:type="paragraph" w:customStyle="1" w:styleId="NoteBullet">
    <w:name w:val="Note Bullet"/>
    <w:basedOn w:val="Note"/>
    <w:rsid w:val="00AE4A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A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A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A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A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4A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A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4A59"/>
    <w:rPr>
      <w:b/>
      <w:smallCaps/>
    </w:rPr>
  </w:style>
  <w:style w:type="paragraph" w:customStyle="1" w:styleId="TableListNumber">
    <w:name w:val="Table List Number"/>
    <w:basedOn w:val="ListNumber"/>
    <w:rsid w:val="00AE4A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A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A59"/>
    <w:pPr>
      <w:numPr>
        <w:numId w:val="9"/>
      </w:numPr>
    </w:pPr>
  </w:style>
  <w:style w:type="paragraph" w:customStyle="1" w:styleId="ListAlpha2">
    <w:name w:val="List Alpha 2"/>
    <w:basedOn w:val="List2"/>
    <w:rsid w:val="00AE4A59"/>
    <w:pPr>
      <w:numPr>
        <w:numId w:val="8"/>
      </w:numPr>
    </w:pPr>
  </w:style>
  <w:style w:type="paragraph" w:styleId="List2">
    <w:name w:val="List 2"/>
    <w:basedOn w:val="BodyText"/>
    <w:rsid w:val="00AE4A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A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A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A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4A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4A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4A59"/>
    <w:pPr>
      <w:numPr>
        <w:numId w:val="4"/>
      </w:numPr>
    </w:pPr>
  </w:style>
  <w:style w:type="paragraph" w:styleId="ListContinue2">
    <w:name w:val="List Continue 2"/>
    <w:basedOn w:val="List2"/>
    <w:rsid w:val="00AE4A59"/>
    <w:pPr>
      <w:ind w:firstLine="0"/>
    </w:pPr>
  </w:style>
  <w:style w:type="paragraph" w:styleId="ListContinue3">
    <w:name w:val="List Continue 3"/>
    <w:basedOn w:val="List3"/>
    <w:rsid w:val="00AE4A59"/>
    <w:pPr>
      <w:ind w:left="1021" w:firstLine="0"/>
    </w:pPr>
  </w:style>
  <w:style w:type="paragraph" w:styleId="ListContinue4">
    <w:name w:val="List Continue 4"/>
    <w:basedOn w:val="List4"/>
    <w:rsid w:val="00AE4A59"/>
    <w:pPr>
      <w:ind w:firstLine="0"/>
    </w:pPr>
  </w:style>
  <w:style w:type="paragraph" w:styleId="ListContinue5">
    <w:name w:val="List Continue 5"/>
    <w:basedOn w:val="List5"/>
    <w:rsid w:val="00AE4A59"/>
    <w:pPr>
      <w:ind w:firstLine="0"/>
    </w:pPr>
  </w:style>
  <w:style w:type="paragraph" w:styleId="ListNumber3">
    <w:name w:val="List Number 3"/>
    <w:basedOn w:val="List3"/>
    <w:rsid w:val="00AE4A59"/>
    <w:pPr>
      <w:numPr>
        <w:numId w:val="5"/>
      </w:numPr>
    </w:pPr>
  </w:style>
  <w:style w:type="paragraph" w:styleId="ListNumber4">
    <w:name w:val="List Number 4"/>
    <w:basedOn w:val="List4"/>
    <w:rsid w:val="00AE4A59"/>
    <w:pPr>
      <w:numPr>
        <w:numId w:val="6"/>
      </w:numPr>
    </w:pPr>
  </w:style>
  <w:style w:type="paragraph" w:styleId="ListNumber5">
    <w:name w:val="List Number 5"/>
    <w:basedOn w:val="List5"/>
    <w:rsid w:val="00AE4A59"/>
    <w:pPr>
      <w:numPr>
        <w:numId w:val="7"/>
      </w:numPr>
    </w:pPr>
  </w:style>
  <w:style w:type="paragraph" w:styleId="BlockText">
    <w:name w:val="Block Text"/>
    <w:basedOn w:val="Normal"/>
    <w:rsid w:val="00AE4A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A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A59"/>
    <w:rPr>
      <w:sz w:val="16"/>
      <w:vertAlign w:val="superscript"/>
    </w:rPr>
  </w:style>
  <w:style w:type="character" w:customStyle="1" w:styleId="Symbols">
    <w:name w:val="Symbols"/>
    <w:basedOn w:val="DefaultParagraphFont"/>
    <w:rsid w:val="00AE4A59"/>
    <w:rPr>
      <w:rFonts w:ascii="Symbol" w:hAnsi="Symbol"/>
    </w:rPr>
  </w:style>
  <w:style w:type="character" w:customStyle="1" w:styleId="MenuOptions">
    <w:name w:val="Menu Options"/>
    <w:basedOn w:val="DefaultParagraphFont"/>
    <w:rsid w:val="00AE4A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A59"/>
    <w:rPr>
      <w:b/>
    </w:rPr>
  </w:style>
  <w:style w:type="character" w:customStyle="1" w:styleId="Underlined">
    <w:name w:val="Underlined"/>
    <w:basedOn w:val="DefaultParagraphFont"/>
    <w:rsid w:val="00AE4A59"/>
    <w:rPr>
      <w:u w:val="single"/>
    </w:rPr>
  </w:style>
  <w:style w:type="paragraph" w:customStyle="1" w:styleId="TableBodyTextRight">
    <w:name w:val="Table Body Text Right"/>
    <w:basedOn w:val="TableBodyText"/>
    <w:rsid w:val="00AE4A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A59"/>
    <w:rPr>
      <w:sz w:val="18"/>
    </w:rPr>
  </w:style>
  <w:style w:type="paragraph" w:customStyle="1" w:styleId="BodySmallRight">
    <w:name w:val="Body Small Right"/>
    <w:basedOn w:val="BodyTextRight"/>
    <w:rsid w:val="00AE4A59"/>
    <w:rPr>
      <w:sz w:val="18"/>
      <w:szCs w:val="18"/>
    </w:rPr>
  </w:style>
  <w:style w:type="paragraph" w:customStyle="1" w:styleId="MarginEdition">
    <w:name w:val="Margin Edition"/>
    <w:basedOn w:val="MarginNote"/>
    <w:rsid w:val="00AE4A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A59"/>
    <w:rPr>
      <w:sz w:val="2"/>
      <w:szCs w:val="2"/>
    </w:rPr>
  </w:style>
  <w:style w:type="character" w:customStyle="1" w:styleId="Small">
    <w:name w:val="Small"/>
    <w:basedOn w:val="DefaultParagraphFont"/>
    <w:rsid w:val="00AE4A59"/>
    <w:rPr>
      <w:sz w:val="16"/>
    </w:rPr>
  </w:style>
  <w:style w:type="paragraph" w:customStyle="1" w:styleId="WideTable">
    <w:name w:val="Wide Table"/>
    <w:basedOn w:val="Normal"/>
    <w:rsid w:val="00AE4A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A59"/>
  </w:style>
  <w:style w:type="paragraph" w:styleId="Quote">
    <w:name w:val="Quote"/>
    <w:basedOn w:val="Heading1"/>
    <w:link w:val="QuoteChar"/>
    <w:qFormat/>
    <w:rsid w:val="00AE4A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A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A59"/>
    <w:pPr>
      <w:pageBreakBefore/>
    </w:pPr>
  </w:style>
  <w:style w:type="paragraph" w:customStyle="1" w:styleId="Border">
    <w:name w:val="Border"/>
    <w:basedOn w:val="Normal"/>
    <w:qFormat/>
    <w:rsid w:val="00AE4A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A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A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A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4A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A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A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A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A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A59"/>
    <w:rPr>
      <w:u w:val="single"/>
    </w:rPr>
  </w:style>
  <w:style w:type="character" w:customStyle="1" w:styleId="BoldandItalics">
    <w:name w:val="Bold and Italics"/>
    <w:qFormat/>
    <w:rsid w:val="00AE4A59"/>
    <w:rPr>
      <w:b/>
      <w:i/>
      <w:u w:val="none"/>
    </w:rPr>
  </w:style>
  <w:style w:type="paragraph" w:styleId="BalloonText">
    <w:name w:val="Balloon Text"/>
    <w:basedOn w:val="Normal"/>
    <w:link w:val="BalloonTextChar"/>
    <w:rsid w:val="00AE4A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A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4A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A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4A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4A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4A5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D3A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2597</Characters>
  <Application>Microsoft Office Word</Application>
  <DocSecurity>0</DocSecurity>
  <Lines>70</Lines>
  <Paragraphs>56</Paragraphs>
  <ScaleCrop>false</ScaleCrop>
  <Company>Author-it Software Corporation Ltd.</Company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FBPPPL3008 Establish compliance requirements for work area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2022-04-19T18:30:00Z</dcterms:created>
  <dcterms:modified xsi:type="dcterms:W3CDTF">2022-04-19T18:30:00Z</dcterms:modified>
</cp:coreProperties>
</file>