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73430" w:rsidP="00B7343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FBPPHM4006 Respond to non-conformance</w:t>
      </w:r>
      <w:r>
        <w:fldChar w:fldCharType="end"/>
      </w:r>
    </w:p>
    <w:p w:rsidR="00B73430" w:rsidP="00B73430">
      <w:pPr>
        <w:pStyle w:val="Version"/>
        <w:sectPr w:rsidSect="0026761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67612" w:rsidP="00267612">
      <w:pPr>
        <w:pStyle w:val="SuperHeading"/>
      </w:pPr>
      <w:r w:rsidRPr="00267612">
        <w:t>FBPPHM4006 Respond to non-conformance</w:t>
      </w:r>
    </w:p>
    <w:p w:rsidR="00000000" w:rsidRPr="00267612" w:rsidP="00267612">
      <w:pPr>
        <w:pStyle w:val="Heading1"/>
      </w:pPr>
      <w:bookmarkStart w:id="1" w:name="O_997873"/>
      <w:bookmarkEnd w:id="1"/>
      <w:r w:rsidRPr="00267612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69"/>
        <w:gridCol w:w="6727"/>
      </w:tblGrid>
      <w:tr w:rsidTr="00B7343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7612" w:rsidP="00267612">
            <w:pPr>
              <w:pStyle w:val="BodyText"/>
            </w:pPr>
            <w:r w:rsidRPr="00267612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612">
            <w:pPr>
              <w:pStyle w:val="BodyText"/>
              <w:rPr>
                <w:lang w:val="en-NZ"/>
              </w:rPr>
            </w:pPr>
            <w:r w:rsidRPr="00267612">
              <w:rPr>
                <w:rStyle w:val="SpecialBold"/>
              </w:rPr>
              <w:t>Comments</w:t>
            </w:r>
          </w:p>
        </w:tc>
      </w:tr>
      <w:tr w:rsidTr="00B7343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612">
            <w:pPr>
              <w:pStyle w:val="BodyText"/>
              <w:rPr>
                <w:lang w:val="en-NZ"/>
              </w:rPr>
            </w:pPr>
            <w:r w:rsidRPr="00267612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7612" w:rsidP="00267612">
            <w:pPr>
              <w:pStyle w:val="BodyText"/>
            </w:pPr>
            <w:r w:rsidRPr="00267612">
              <w:t>This version released with FBP Food, Beverage and Pharmaceutical Training Package Version 2.0.</w:t>
            </w:r>
          </w:p>
        </w:tc>
      </w:tr>
    </w:tbl>
    <w:p w:rsidR="00000000" w:rsidRPr="00267612" w:rsidP="00267612">
      <w:pPr>
        <w:pStyle w:val="BodyText"/>
      </w:pPr>
    </w:p>
    <w:p w:rsidR="00000000" w:rsidRPr="00267612" w:rsidP="00267612">
      <w:pPr>
        <w:pStyle w:val="AllowPageBreak"/>
      </w:pPr>
    </w:p>
    <w:p w:rsidR="00000000" w:rsidRPr="00267612" w:rsidP="00267612">
      <w:pPr>
        <w:pStyle w:val="Heading1"/>
      </w:pPr>
      <w:bookmarkStart w:id="2" w:name="O_997874"/>
      <w:bookmarkEnd w:id="2"/>
      <w:r w:rsidRPr="00267612">
        <w:t>Application</w:t>
      </w:r>
    </w:p>
    <w:p w:rsidR="00000000" w:rsidRPr="00267612" w:rsidP="00B73430">
      <w:pPr>
        <w:pStyle w:val="BodyText"/>
      </w:pPr>
      <w:r w:rsidRPr="00267612">
        <w:t>This unit of competency describes the skills and knowledge required to identify a</w:t>
      </w:r>
      <w:r w:rsidRPr="00267612">
        <w:t>nd respond to non-conformance and review processes to minimise risk of recurrence to meet Good Manufacturing Practice (GMP) requirements in a pharmaceutical manufacturing facility.</w:t>
      </w:r>
    </w:p>
    <w:p w:rsidR="00000000" w:rsidRPr="00267612" w:rsidP="00B73430">
      <w:pPr>
        <w:pStyle w:val="BodyText"/>
      </w:pPr>
      <w:r w:rsidRPr="00267612">
        <w:t>The unit applies to individuals with specialised skills and knowledge of GM</w:t>
      </w:r>
      <w:r w:rsidRPr="00267612">
        <w:t>P requirements who respond to non-conformance relevant to pharmaceutical manufacturing operations and have responsibility for the output of others. This includes applying and communicating non-routine technical solutions to predictable and unpredictable pr</w:t>
      </w:r>
      <w:r w:rsidRPr="00267612">
        <w:t>oblems.</w:t>
      </w:r>
    </w:p>
    <w:p w:rsidR="00000000" w:rsidRPr="00267612" w:rsidP="00B73430">
      <w:pPr>
        <w:pStyle w:val="BodyText"/>
      </w:pPr>
      <w:r w:rsidRPr="00267612">
        <w:t>No occupational licensing, legislative or certification requirements apply to this unit at the time of publication.</w:t>
      </w:r>
    </w:p>
    <w:p w:rsidR="00000000" w:rsidRPr="00267612" w:rsidP="00267612">
      <w:pPr>
        <w:pStyle w:val="Heading1"/>
      </w:pPr>
      <w:bookmarkStart w:id="3" w:name="O_997875"/>
      <w:bookmarkEnd w:id="3"/>
      <w:r w:rsidRPr="00267612">
        <w:t>Pre-requisite Unit</w:t>
      </w:r>
    </w:p>
    <w:p w:rsidR="00000000" w:rsidRPr="00267612" w:rsidP="00B73430">
      <w:pPr>
        <w:pStyle w:val="BodyText"/>
      </w:pPr>
      <w:r w:rsidRPr="00267612">
        <w:t>Nil</w:t>
      </w:r>
    </w:p>
    <w:p w:rsidR="00000000" w:rsidRPr="00267612" w:rsidP="00267612">
      <w:pPr>
        <w:pStyle w:val="Heading1"/>
      </w:pPr>
      <w:bookmarkStart w:id="4" w:name="O_997877"/>
      <w:bookmarkEnd w:id="4"/>
      <w:r w:rsidRPr="00267612">
        <w:t>Unit Sector</w:t>
      </w:r>
    </w:p>
    <w:p w:rsidR="00000000" w:rsidRPr="00267612" w:rsidP="00B73430">
      <w:pPr>
        <w:pStyle w:val="BodyText"/>
      </w:pPr>
      <w:r w:rsidRPr="00267612">
        <w:t>Pharmaceutical (PHM)</w:t>
      </w:r>
    </w:p>
    <w:p w:rsidR="00000000" w:rsidRPr="00267612" w:rsidP="00267612">
      <w:pPr>
        <w:pStyle w:val="Heading1"/>
      </w:pPr>
      <w:bookmarkStart w:id="5" w:name="O_997878"/>
      <w:bookmarkEnd w:id="5"/>
      <w:r w:rsidRPr="00267612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34"/>
        <w:gridCol w:w="6762"/>
      </w:tblGrid>
      <w:tr w:rsidTr="00B7343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7612" w:rsidP="00267612">
            <w:pPr>
              <w:pStyle w:val="BodyText"/>
            </w:pPr>
            <w:r w:rsidRPr="00267612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612">
            <w:pPr>
              <w:pStyle w:val="BodyText"/>
              <w:rPr>
                <w:lang w:val="en-NZ"/>
              </w:rPr>
            </w:pPr>
            <w:r w:rsidRPr="00267612">
              <w:rPr>
                <w:rStyle w:val="SpecialBold"/>
              </w:rPr>
              <w:t>Performance Criteria</w:t>
            </w:r>
          </w:p>
        </w:tc>
      </w:tr>
      <w:tr w:rsidTr="00B7343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7612" w:rsidP="00267612">
            <w:pPr>
              <w:pStyle w:val="BodyText"/>
            </w:pPr>
            <w:r w:rsidRPr="00267612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612">
            <w:pPr>
              <w:pStyle w:val="BodyText"/>
              <w:rPr>
                <w:lang w:val="en-NZ"/>
              </w:rPr>
            </w:pPr>
            <w:r w:rsidRPr="0026761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7343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612">
            <w:pPr>
              <w:pStyle w:val="BodyText"/>
              <w:rPr>
                <w:lang w:val="en-NZ"/>
              </w:rPr>
            </w:pPr>
            <w:r w:rsidRPr="00267612">
              <w:t>1. Identify non-conformance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7612" w:rsidP="00267612">
            <w:pPr>
              <w:pStyle w:val="BodyText"/>
            </w:pPr>
            <w:r w:rsidRPr="00267612">
              <w:t xml:space="preserve">1.1 Interpret workplace </w:t>
            </w:r>
            <w:r w:rsidRPr="00267612">
              <w:t>procedures and documentation relevant to non-conformance</w:t>
            </w:r>
          </w:p>
          <w:p w:rsidR="00000000" w:rsidRPr="00267612" w:rsidP="00267612">
            <w:pPr>
              <w:pStyle w:val="BodyText"/>
            </w:pPr>
            <w:r w:rsidRPr="00267612">
              <w:t>1.2 Identify nature of non-conformance</w:t>
            </w:r>
          </w:p>
          <w:p w:rsidR="00000000" w:rsidP="00267612">
            <w:pPr>
              <w:pStyle w:val="BodyText"/>
              <w:rPr>
                <w:lang w:val="en-NZ"/>
              </w:rPr>
            </w:pPr>
            <w:r w:rsidRPr="00267612">
              <w:t xml:space="preserve">1.3 Follow non-conformance corrective and preventive action (CAPA) </w:t>
            </w:r>
            <w:r w:rsidRPr="00267612">
              <w:t>according to GMP requirements and workplace procedures</w:t>
            </w:r>
          </w:p>
        </w:tc>
      </w:tr>
      <w:tr w:rsidTr="00B7343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612">
            <w:pPr>
              <w:pStyle w:val="BodyText"/>
              <w:rPr>
                <w:lang w:val="en-NZ"/>
              </w:rPr>
            </w:pPr>
            <w:r w:rsidRPr="00267612">
              <w:t>2. Identify causes of non-conformance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7612" w:rsidP="00267612">
            <w:pPr>
              <w:pStyle w:val="BodyText"/>
            </w:pPr>
            <w:r w:rsidRPr="00267612">
              <w:t>2.1 Investigate possible causes of non-conformance</w:t>
            </w:r>
          </w:p>
          <w:p w:rsidR="00000000" w:rsidRPr="00267612" w:rsidP="00267612">
            <w:pPr>
              <w:pStyle w:val="BodyText"/>
            </w:pPr>
            <w:r w:rsidRPr="00267612">
              <w:t>2.2 Conduct root cause analysis (RCA) to determine cause of non-conformance</w:t>
            </w:r>
          </w:p>
          <w:p w:rsidR="00000000" w:rsidP="00267612">
            <w:pPr>
              <w:pStyle w:val="BodyText"/>
              <w:rPr>
                <w:lang w:val="en-NZ"/>
              </w:rPr>
            </w:pPr>
            <w:r w:rsidRPr="00267612">
              <w:t>2.3 Conduct non-conformance risk assessment on current and previous material according to workplace procedures</w:t>
            </w:r>
          </w:p>
        </w:tc>
      </w:tr>
      <w:tr w:rsidTr="00B7343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612">
            <w:pPr>
              <w:pStyle w:val="BodyText"/>
              <w:rPr>
                <w:lang w:val="en-NZ"/>
              </w:rPr>
            </w:pPr>
            <w:r w:rsidRPr="00267612">
              <w:t>3. Review proces</w:t>
            </w:r>
            <w:r w:rsidRPr="00267612">
              <w:t>ses to minimise risk of recurrence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7612" w:rsidP="00267612">
            <w:pPr>
              <w:pStyle w:val="BodyText"/>
            </w:pPr>
            <w:r w:rsidRPr="00267612">
              <w:t>3.1 Assess and select solutions to eliminate or minimise the risk of recurrence</w:t>
            </w:r>
          </w:p>
          <w:p w:rsidR="00000000" w:rsidRPr="00267612" w:rsidP="00267612">
            <w:pPr>
              <w:pStyle w:val="BodyText"/>
            </w:pPr>
            <w:r w:rsidRPr="00267612">
              <w:t>3.2 Develop an implementation plan for risk minimisation solutions</w:t>
            </w:r>
          </w:p>
          <w:p w:rsidR="00000000" w:rsidRPr="00267612" w:rsidP="00267612">
            <w:pPr>
              <w:pStyle w:val="BodyText"/>
            </w:pPr>
            <w:r w:rsidRPr="00267612">
              <w:t>3.3 Conduct CAPA effectiveness checks according to GMP requirements and wo</w:t>
            </w:r>
            <w:r w:rsidRPr="00267612">
              <w:t>rkplace procedures</w:t>
            </w:r>
          </w:p>
          <w:p w:rsidR="00000000" w:rsidRPr="00267612" w:rsidP="00267612">
            <w:pPr>
              <w:pStyle w:val="BodyText"/>
            </w:pPr>
            <w:r w:rsidRPr="00267612">
              <w:t>3.4 Establish consultative mechanisms and communicate implementation plan to support continuous improvement according to GMP requirements and workplace procedures</w:t>
            </w:r>
          </w:p>
        </w:tc>
      </w:tr>
    </w:tbl>
    <w:p w:rsidR="00000000" w:rsidRPr="00267612" w:rsidP="00267612">
      <w:pPr>
        <w:pStyle w:val="BodyText"/>
      </w:pPr>
    </w:p>
    <w:p w:rsidR="00000000" w:rsidRPr="00267612" w:rsidP="00267612">
      <w:pPr>
        <w:pStyle w:val="AllowPageBreak"/>
      </w:pPr>
    </w:p>
    <w:p w:rsidR="00000000" w:rsidRPr="00267612" w:rsidP="00267612">
      <w:pPr>
        <w:pStyle w:val="Heading1"/>
      </w:pPr>
      <w:bookmarkStart w:id="6" w:name="O_997879"/>
      <w:bookmarkEnd w:id="6"/>
      <w:r w:rsidRPr="00267612">
        <w:t>Foundation Skills</w:t>
      </w:r>
    </w:p>
    <w:p w:rsidR="00000000" w:rsidRPr="00B73430" w:rsidP="00B73430">
      <w:pPr>
        <w:pStyle w:val="BodyText"/>
        <w:rPr>
          <w:i/>
        </w:rPr>
      </w:pPr>
      <w:r w:rsidRPr="00B73430">
        <w:rPr>
          <w:rStyle w:val="Emphasis"/>
        </w:rPr>
        <w:t>This section describes those language</w:t>
      </w:r>
      <w:r w:rsidRPr="00B73430">
        <w:rPr>
          <w:rStyle w:val="Emphasis"/>
        </w:rPr>
        <w:t>, literacy, numeracy and employment skills that are essential for performance in this unit of competency but are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09"/>
        <w:gridCol w:w="6787"/>
      </w:tblGrid>
      <w:tr w:rsidTr="00B7343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7612" w:rsidP="00267612">
            <w:pPr>
              <w:pStyle w:val="BodyText"/>
            </w:pPr>
            <w:r w:rsidRPr="00267612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612">
            <w:pPr>
              <w:pStyle w:val="BodyText"/>
              <w:rPr>
                <w:lang w:val="en-NZ"/>
              </w:rPr>
            </w:pPr>
            <w:r w:rsidRPr="00267612">
              <w:rPr>
                <w:rStyle w:val="SpecialBold"/>
              </w:rPr>
              <w:t>Description</w:t>
            </w:r>
          </w:p>
        </w:tc>
      </w:tr>
      <w:tr w:rsidTr="00B7343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612">
            <w:pPr>
              <w:pStyle w:val="BodyText"/>
              <w:rPr>
                <w:lang w:val="en-NZ"/>
              </w:rPr>
            </w:pPr>
            <w:r w:rsidRPr="00267612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7612" w:rsidP="00267612">
            <w:pPr>
              <w:pStyle w:val="ListBullet"/>
            </w:pPr>
            <w:r w:rsidRPr="00267612">
              <w:t>Interpret key information in workplace documentation and CAPA relevant to non-conformance</w:t>
            </w:r>
          </w:p>
          <w:p w:rsidR="00000000" w:rsidP="00267612">
            <w:pPr>
              <w:pStyle w:val="ListBullet"/>
              <w:rPr>
                <w:lang w:val="en-NZ"/>
              </w:rPr>
            </w:pPr>
            <w:r w:rsidRPr="00267612">
              <w:t>Interpret key information in GMP requirements and workplace procedures relevant to non-conformance</w:t>
            </w:r>
          </w:p>
        </w:tc>
      </w:tr>
      <w:tr w:rsidTr="00B7343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612">
            <w:pPr>
              <w:pStyle w:val="BodyText"/>
              <w:rPr>
                <w:lang w:val="en-NZ"/>
              </w:rPr>
            </w:pPr>
            <w:r w:rsidRPr="00267612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612">
            <w:pPr>
              <w:pStyle w:val="ListBullet"/>
              <w:rPr>
                <w:lang w:val="en-NZ"/>
              </w:rPr>
            </w:pPr>
            <w:r w:rsidRPr="00267612">
              <w:t>Prepare RCA documentation</w:t>
            </w:r>
          </w:p>
        </w:tc>
      </w:tr>
      <w:tr w:rsidTr="00B7343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612">
            <w:pPr>
              <w:pStyle w:val="BodyText"/>
              <w:rPr>
                <w:lang w:val="en-NZ"/>
              </w:rPr>
            </w:pPr>
            <w:r w:rsidRPr="00267612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7612" w:rsidP="00267612">
            <w:pPr>
              <w:pStyle w:val="ListBullet"/>
            </w:pPr>
            <w:r w:rsidRPr="00267612">
              <w:t>Demonstrate two-way communication including active listening and confirming instructions when explaining implementation plan to team members</w:t>
            </w:r>
          </w:p>
          <w:p w:rsidR="00000000" w:rsidP="00267612">
            <w:pPr>
              <w:pStyle w:val="ListBullet"/>
              <w:rPr>
                <w:lang w:val="en-NZ"/>
              </w:rPr>
            </w:pPr>
            <w:r w:rsidRPr="00267612">
              <w:t xml:space="preserve">Use appropriate vocabulary, including technical language, to explain requirements </w:t>
            </w:r>
          </w:p>
        </w:tc>
      </w:tr>
      <w:tr w:rsidTr="00B7343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612">
            <w:pPr>
              <w:pStyle w:val="BodyText"/>
              <w:rPr>
                <w:lang w:val="en-NZ"/>
              </w:rPr>
            </w:pPr>
            <w:r w:rsidRPr="00267612">
              <w:t>Get the work done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7612" w:rsidP="00267612">
            <w:pPr>
              <w:pStyle w:val="ListBullet"/>
            </w:pPr>
            <w:r w:rsidRPr="00267612">
              <w:t>Access and u</w:t>
            </w:r>
            <w:r w:rsidRPr="00267612">
              <w:t>se electronic document management systems</w:t>
            </w:r>
          </w:p>
        </w:tc>
      </w:tr>
    </w:tbl>
    <w:p w:rsidR="00000000" w:rsidRPr="00267612" w:rsidP="00267612">
      <w:pPr>
        <w:pStyle w:val="BodyText"/>
      </w:pPr>
    </w:p>
    <w:p w:rsidR="00000000" w:rsidRPr="00267612" w:rsidP="00267612">
      <w:pPr>
        <w:pStyle w:val="AllowPageBreak"/>
      </w:pPr>
    </w:p>
    <w:p w:rsidR="00000000" w:rsidRPr="00267612" w:rsidP="00267612">
      <w:pPr>
        <w:pStyle w:val="Heading1"/>
      </w:pPr>
      <w:bookmarkStart w:id="7" w:name="O_997881"/>
      <w:bookmarkEnd w:id="7"/>
      <w:r w:rsidRPr="00267612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757"/>
        <w:gridCol w:w="2046"/>
        <w:gridCol w:w="2325"/>
        <w:gridCol w:w="3068"/>
      </w:tblGrid>
      <w:tr w:rsidTr="00B7343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7612" w:rsidP="00267612">
            <w:pPr>
              <w:pStyle w:val="BodyText"/>
            </w:pPr>
            <w:r w:rsidRPr="00267612">
              <w:rPr>
                <w:rStyle w:val="SpecialBold"/>
              </w:rPr>
              <w:t>Code and title current 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7612" w:rsidP="00267612">
            <w:pPr>
              <w:pStyle w:val="BodyText"/>
            </w:pPr>
            <w:r w:rsidRPr="00267612">
              <w:rPr>
                <w:rStyle w:val="SpecialBold"/>
              </w:rPr>
              <w:t>Code and title previous 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7612" w:rsidP="00267612">
            <w:pPr>
              <w:pStyle w:val="BodyText"/>
            </w:pPr>
            <w:r w:rsidRPr="00267612">
              <w:rPr>
                <w:rStyle w:val="SpecialBold"/>
              </w:rPr>
              <w:t>Comments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612">
            <w:pPr>
              <w:pStyle w:val="BodyText"/>
              <w:rPr>
                <w:lang w:val="en-NZ"/>
              </w:rPr>
            </w:pPr>
            <w:r w:rsidRPr="00267612">
              <w:rPr>
                <w:rStyle w:val="SpecialBold"/>
              </w:rPr>
              <w:t>Equivalence status</w:t>
            </w:r>
          </w:p>
        </w:tc>
      </w:tr>
      <w:tr w:rsidTr="00B7343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612">
            <w:pPr>
              <w:pStyle w:val="BodyText"/>
              <w:rPr>
                <w:lang w:val="en-NZ"/>
              </w:rPr>
            </w:pPr>
            <w:r w:rsidRPr="00267612">
              <w:t>FBPPHM4006 Respond to non-conformance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612">
            <w:pPr>
              <w:pStyle w:val="BodyText"/>
              <w:rPr>
                <w:lang w:val="en-NZ"/>
              </w:rPr>
            </w:pPr>
            <w:r w:rsidRPr="00267612">
              <w:t>FDFPH4006A Respond to non-conformance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7612" w:rsidP="00267612">
            <w:pPr>
              <w:pStyle w:val="BodyText"/>
            </w:pPr>
            <w:r w:rsidRPr="00267612">
              <w:t>Updated to meet Standards for Training Packages</w:t>
            </w:r>
          </w:p>
          <w:p w:rsidR="00000000" w:rsidP="00267612">
            <w:pPr>
              <w:pStyle w:val="BodyText"/>
              <w:rPr>
                <w:lang w:val="en-NZ"/>
              </w:rPr>
            </w:pPr>
            <w:r w:rsidRPr="00267612">
              <w:t>Changes to performance criteria for clarity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7612" w:rsidP="00267612">
            <w:pPr>
              <w:pStyle w:val="BodyText"/>
            </w:pPr>
            <w:r w:rsidRPr="00267612">
              <w:t>Equivalent unit</w:t>
            </w:r>
          </w:p>
        </w:tc>
      </w:tr>
    </w:tbl>
    <w:p w:rsidR="00000000" w:rsidRPr="00267612" w:rsidP="00267612">
      <w:pPr>
        <w:pStyle w:val="BodyText"/>
      </w:pPr>
    </w:p>
    <w:p w:rsidR="00000000" w:rsidRPr="00267612" w:rsidP="00267612">
      <w:pPr>
        <w:pStyle w:val="AllowPageBreak"/>
      </w:pPr>
    </w:p>
    <w:p w:rsidR="00000000" w:rsidRPr="00267612" w:rsidP="00267612">
      <w:pPr>
        <w:pStyle w:val="Heading1"/>
      </w:pPr>
      <w:bookmarkStart w:id="8" w:name="O_997888"/>
      <w:bookmarkEnd w:id="8"/>
      <w:r w:rsidRPr="00267612">
        <w:t>Links</w:t>
      </w:r>
    </w:p>
    <w:p w:rsidR="00000000" w:rsidRPr="00267612" w:rsidP="00B73430">
      <w:pPr>
        <w:pStyle w:val="BodyText"/>
      </w:pPr>
      <w:r w:rsidRPr="00267612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17698C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267612" w:rsidP="00B73430">
      <w:pPr>
        <w:pStyle w:val="BodyText"/>
        <w:sectPr w:rsidSect="0026761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67612" w:rsidP="00267612">
      <w:pPr>
        <w:pStyle w:val="SuperHeading"/>
      </w:pPr>
      <w:r w:rsidRPr="00267612">
        <w:t>Assessment Requirements for FBPPHM4006 Respond to non-conformance</w:t>
      </w:r>
    </w:p>
    <w:p w:rsidR="00000000" w:rsidRPr="00267612" w:rsidP="00267612">
      <w:pPr>
        <w:pStyle w:val="Heading1"/>
      </w:pPr>
      <w:bookmarkStart w:id="9" w:name="O_997883"/>
      <w:bookmarkEnd w:id="9"/>
      <w:r w:rsidRPr="00267612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69"/>
        <w:gridCol w:w="6727"/>
      </w:tblGrid>
      <w:tr w:rsidTr="00B7343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7612" w:rsidP="00267612">
            <w:pPr>
              <w:pStyle w:val="BodyText"/>
            </w:pPr>
            <w:r w:rsidRPr="00267612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612">
            <w:pPr>
              <w:pStyle w:val="BodyText"/>
              <w:rPr>
                <w:lang w:val="en-NZ"/>
              </w:rPr>
            </w:pPr>
            <w:r w:rsidRPr="00267612">
              <w:rPr>
                <w:rStyle w:val="SpecialBold"/>
              </w:rPr>
              <w:t>Comments</w:t>
            </w:r>
          </w:p>
        </w:tc>
      </w:tr>
      <w:tr w:rsidTr="00B7343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612">
            <w:pPr>
              <w:pStyle w:val="BodyText"/>
              <w:rPr>
                <w:lang w:val="en-NZ"/>
              </w:rPr>
            </w:pPr>
            <w:r w:rsidRPr="00267612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7612" w:rsidP="00267612">
            <w:pPr>
              <w:pStyle w:val="BodyText"/>
            </w:pPr>
            <w:r w:rsidRPr="00267612">
              <w:t>This version released with FBP Food, Beverage and Pharmaceutical Training Package Version 2.0.</w:t>
            </w:r>
          </w:p>
        </w:tc>
      </w:tr>
    </w:tbl>
    <w:p w:rsidR="00000000" w:rsidRPr="00267612" w:rsidP="00267612">
      <w:pPr>
        <w:pStyle w:val="BodyText"/>
      </w:pPr>
    </w:p>
    <w:p w:rsidR="00000000" w:rsidRPr="00267612" w:rsidP="00267612">
      <w:pPr>
        <w:pStyle w:val="AllowPageBreak"/>
      </w:pPr>
    </w:p>
    <w:p w:rsidR="00000000" w:rsidRPr="00267612" w:rsidP="00267612">
      <w:pPr>
        <w:pStyle w:val="Heading1"/>
      </w:pPr>
      <w:bookmarkStart w:id="10" w:name="O_997884"/>
      <w:bookmarkEnd w:id="10"/>
      <w:r w:rsidRPr="00267612">
        <w:t>Performance Evidence</w:t>
      </w:r>
    </w:p>
    <w:p w:rsidR="00000000" w:rsidRPr="00267612" w:rsidP="00B73430">
      <w:pPr>
        <w:pStyle w:val="BodyText"/>
      </w:pPr>
      <w:r w:rsidRPr="00267612">
        <w:t>An individual demonstrating competency in this unit must satisfy all the elements and performance criteria of this unit.</w:t>
      </w:r>
    </w:p>
    <w:p w:rsidR="00000000" w:rsidRPr="00267612" w:rsidP="00B73430">
      <w:pPr>
        <w:pStyle w:val="BodyText"/>
      </w:pPr>
      <w:r w:rsidRPr="00267612">
        <w:t>There must be evidence that the individual has responded to at least one non-conformance, including:</w:t>
      </w:r>
    </w:p>
    <w:p w:rsidR="00000000" w:rsidRPr="00267612" w:rsidP="00267612">
      <w:pPr>
        <w:pStyle w:val="ListBullet"/>
      </w:pPr>
      <w:r w:rsidRPr="00267612">
        <w:t>identified workplace procedures and documentation relating to non-conformance</w:t>
      </w:r>
    </w:p>
    <w:p w:rsidR="00000000" w:rsidRPr="00267612" w:rsidP="00267612">
      <w:pPr>
        <w:pStyle w:val="ListBullet"/>
      </w:pPr>
      <w:r w:rsidRPr="00267612">
        <w:t>interpreted Good Manufacturing Practice (GMP) requirements and workplace pro</w:t>
      </w:r>
      <w:r w:rsidRPr="00267612">
        <w:t>cedures related to non-conformance</w:t>
      </w:r>
    </w:p>
    <w:p w:rsidR="00000000" w:rsidRPr="00267612" w:rsidP="00267612">
      <w:pPr>
        <w:pStyle w:val="ListBullet"/>
      </w:pPr>
      <w:r w:rsidRPr="00267612">
        <w:t>identified workplace non-conformance change management procedures and responsibilities, including:</w:t>
      </w:r>
    </w:p>
    <w:p w:rsidR="00000000" w:rsidRPr="00267612" w:rsidP="00267612">
      <w:pPr>
        <w:pStyle w:val="ListBullet2"/>
      </w:pPr>
      <w:r w:rsidRPr="00267612">
        <w:t>corrective and preventive actions (CAPA)</w:t>
      </w:r>
    </w:p>
    <w:p w:rsidR="00000000" w:rsidRPr="00267612" w:rsidP="00267612">
      <w:pPr>
        <w:pStyle w:val="ListBullet2"/>
      </w:pPr>
      <w:r w:rsidRPr="00267612">
        <w:t>investigating possible causes of non-conformance</w:t>
      </w:r>
    </w:p>
    <w:p w:rsidR="00000000" w:rsidRPr="00267612" w:rsidP="00267612">
      <w:pPr>
        <w:pStyle w:val="ListBullet2"/>
      </w:pPr>
      <w:r w:rsidRPr="00267612">
        <w:t>root cause analysis (RCA)</w:t>
      </w:r>
    </w:p>
    <w:p w:rsidR="00000000" w:rsidRPr="00267612" w:rsidP="00267612">
      <w:pPr>
        <w:pStyle w:val="ListBullet2"/>
      </w:pPr>
      <w:r w:rsidRPr="00267612">
        <w:t>risk assessment</w:t>
      </w:r>
    </w:p>
    <w:p w:rsidR="00000000" w:rsidRPr="00267612" w:rsidP="00267612">
      <w:pPr>
        <w:pStyle w:val="ListBullet2"/>
      </w:pPr>
      <w:r w:rsidRPr="00267612">
        <w:t>repeat incident</w:t>
      </w:r>
    </w:p>
    <w:p w:rsidR="00000000" w:rsidRPr="00267612" w:rsidP="00267612">
      <w:pPr>
        <w:pStyle w:val="ListBullet2"/>
      </w:pPr>
      <w:r w:rsidRPr="00267612">
        <w:t>isolated incident</w:t>
      </w:r>
    </w:p>
    <w:p w:rsidR="00000000" w:rsidRPr="00267612" w:rsidP="00267612">
      <w:pPr>
        <w:pStyle w:val="ListBullet2"/>
      </w:pPr>
      <w:r w:rsidRPr="00267612">
        <w:t>impact assessment</w:t>
      </w:r>
    </w:p>
    <w:p w:rsidR="00000000" w:rsidRPr="00267612" w:rsidP="00267612">
      <w:pPr>
        <w:pStyle w:val="ListBullet2"/>
      </w:pPr>
      <w:r w:rsidRPr="00267612">
        <w:t>recording requirements</w:t>
      </w:r>
    </w:p>
    <w:p w:rsidR="00000000" w:rsidRPr="00267612" w:rsidP="00267612">
      <w:pPr>
        <w:pStyle w:val="ListBullet"/>
      </w:pPr>
      <w:r w:rsidRPr="00267612">
        <w:t>reviewed responses to previous incidents to assess effectiveness and developed recommendations on appropriate workplace procedures</w:t>
      </w:r>
    </w:p>
    <w:p w:rsidR="00000000" w:rsidRPr="00267612" w:rsidP="00267612">
      <w:pPr>
        <w:pStyle w:val="ListBullet"/>
      </w:pPr>
      <w:r w:rsidRPr="00267612">
        <w:t xml:space="preserve">communicated implementation plan </w:t>
      </w:r>
      <w:r w:rsidRPr="00267612">
        <w:t>requirements to others in the work area, including demonstrating:</w:t>
      </w:r>
    </w:p>
    <w:p w:rsidR="00000000" w:rsidRPr="00267612" w:rsidP="00267612">
      <w:pPr>
        <w:pStyle w:val="ListBullet2"/>
      </w:pPr>
      <w:r w:rsidRPr="00267612">
        <w:t>two-way communication</w:t>
      </w:r>
    </w:p>
    <w:p w:rsidR="00000000" w:rsidRPr="00267612" w:rsidP="00267612">
      <w:pPr>
        <w:pStyle w:val="ListBullet2"/>
      </w:pPr>
      <w:r w:rsidRPr="00267612">
        <w:t>active listening</w:t>
      </w:r>
    </w:p>
    <w:p w:rsidR="00000000" w:rsidRPr="00267612" w:rsidP="00267612">
      <w:pPr>
        <w:pStyle w:val="ListBullet2"/>
      </w:pPr>
      <w:r w:rsidRPr="00267612">
        <w:t>constructive responses to feedback.</w:t>
      </w:r>
    </w:p>
    <w:p w:rsidR="00000000" w:rsidRPr="00267612" w:rsidP="00267612">
      <w:pPr>
        <w:pStyle w:val="AllowPageBreak"/>
      </w:pPr>
    </w:p>
    <w:p w:rsidR="00000000" w:rsidRPr="00267612" w:rsidP="00267612">
      <w:pPr>
        <w:pStyle w:val="Heading1"/>
      </w:pPr>
      <w:bookmarkStart w:id="11" w:name="O_997885"/>
      <w:bookmarkEnd w:id="11"/>
      <w:r w:rsidRPr="00267612">
        <w:t>Knowledge Evidence</w:t>
      </w:r>
    </w:p>
    <w:p w:rsidR="00000000" w:rsidRPr="00267612" w:rsidP="00B73430">
      <w:pPr>
        <w:pStyle w:val="BodyText"/>
      </w:pPr>
      <w:r w:rsidRPr="00267612">
        <w:t>An individual must be able to demonstrate the knowledge required to perform the tasks outlined in the elements and performance criteria of this unit. This includes knowledge of:</w:t>
      </w:r>
    </w:p>
    <w:p w:rsidR="00000000" w:rsidRPr="00267612" w:rsidP="00267612">
      <w:pPr>
        <w:pStyle w:val="ListBullet"/>
      </w:pPr>
      <w:r w:rsidRPr="00267612">
        <w:t xml:space="preserve">workplace non-conformance change management procedures and responsibilities, </w:t>
      </w:r>
      <w:r w:rsidRPr="00267612">
        <w:t>including:</w:t>
      </w:r>
    </w:p>
    <w:p w:rsidR="00000000" w:rsidRPr="00267612" w:rsidP="00267612">
      <w:pPr>
        <w:pStyle w:val="ListBullet2"/>
      </w:pPr>
      <w:r w:rsidRPr="00267612">
        <w:t>CAPA</w:t>
      </w:r>
    </w:p>
    <w:p w:rsidR="00000000" w:rsidRPr="00267612" w:rsidP="00267612">
      <w:pPr>
        <w:pStyle w:val="ListBullet2"/>
      </w:pPr>
      <w:r w:rsidRPr="00267612">
        <w:t>investigating possible causes of non-conformance</w:t>
      </w:r>
    </w:p>
    <w:p w:rsidR="00000000" w:rsidRPr="00267612" w:rsidP="00267612">
      <w:pPr>
        <w:pStyle w:val="ListBullet2"/>
      </w:pPr>
      <w:r w:rsidRPr="00267612">
        <w:t>RCA</w:t>
      </w:r>
    </w:p>
    <w:p w:rsidR="00000000" w:rsidRPr="00267612" w:rsidP="00267612">
      <w:pPr>
        <w:pStyle w:val="ListBullet2"/>
      </w:pPr>
      <w:r w:rsidRPr="00267612">
        <w:t>risk assessment</w:t>
      </w:r>
    </w:p>
    <w:p w:rsidR="00000000" w:rsidRPr="00267612" w:rsidP="00267612">
      <w:pPr>
        <w:pStyle w:val="ListBullet2"/>
      </w:pPr>
      <w:r w:rsidRPr="00267612">
        <w:t>repeat incident</w:t>
      </w:r>
    </w:p>
    <w:p w:rsidR="00000000" w:rsidRPr="00267612" w:rsidP="00267612">
      <w:pPr>
        <w:pStyle w:val="ListBullet2"/>
      </w:pPr>
      <w:r w:rsidRPr="00267612">
        <w:t>isolated incident</w:t>
      </w:r>
    </w:p>
    <w:p w:rsidR="00000000" w:rsidRPr="00267612" w:rsidP="00267612">
      <w:pPr>
        <w:pStyle w:val="ListBullet2"/>
      </w:pPr>
      <w:r w:rsidRPr="00267612">
        <w:t>impact assessment</w:t>
      </w:r>
    </w:p>
    <w:p w:rsidR="00000000" w:rsidRPr="00267612" w:rsidP="00267612">
      <w:pPr>
        <w:pStyle w:val="ListBullet2"/>
      </w:pPr>
      <w:r w:rsidRPr="00267612">
        <w:t>recording requirements</w:t>
      </w:r>
    </w:p>
    <w:p w:rsidR="00000000" w:rsidRPr="00267612" w:rsidP="00267612">
      <w:pPr>
        <w:pStyle w:val="ListBullet"/>
      </w:pPr>
      <w:r w:rsidRPr="00267612">
        <w:t>the provisions of the Therapeutic Goods Act relating to identifying non-conformance, including</w:t>
      </w:r>
      <w:r w:rsidRPr="00267612">
        <w:t xml:space="preserve"> customer complaints, product recalls and auditing</w:t>
      </w:r>
    </w:p>
    <w:p w:rsidR="00000000" w:rsidRPr="00267612" w:rsidP="00267612">
      <w:pPr>
        <w:pStyle w:val="ListBullet"/>
      </w:pPr>
      <w:r w:rsidRPr="00267612">
        <w:t>consultation and communication methods used to communicate implementation plan requirements to others in the work area, including demonstrating:</w:t>
      </w:r>
    </w:p>
    <w:p w:rsidR="00000000" w:rsidRPr="00267612" w:rsidP="00267612">
      <w:pPr>
        <w:pStyle w:val="ListBullet2"/>
      </w:pPr>
      <w:r w:rsidRPr="00267612">
        <w:t>two-way communication</w:t>
      </w:r>
    </w:p>
    <w:p w:rsidR="00000000" w:rsidRPr="00267612" w:rsidP="00267612">
      <w:pPr>
        <w:pStyle w:val="ListBullet2"/>
      </w:pPr>
      <w:r w:rsidRPr="00267612">
        <w:t>active listening</w:t>
      </w:r>
    </w:p>
    <w:p w:rsidR="00000000" w:rsidRPr="00267612" w:rsidP="00267612">
      <w:pPr>
        <w:pStyle w:val="ListBullet2"/>
      </w:pPr>
      <w:r w:rsidRPr="00267612">
        <w:t>providing constructive responses to feedback</w:t>
      </w:r>
    </w:p>
    <w:p w:rsidR="00000000" w:rsidRPr="00267612" w:rsidP="00267612">
      <w:pPr>
        <w:pStyle w:val="ListBullet"/>
      </w:pPr>
      <w:r w:rsidRPr="00267612">
        <w:t>GMP requirements and workplace procedures relevant to responding to non-conformance</w:t>
      </w:r>
    </w:p>
    <w:p w:rsidR="00000000" w:rsidRPr="00267612" w:rsidP="00267612">
      <w:pPr>
        <w:pStyle w:val="ListBullet"/>
      </w:pPr>
      <w:r w:rsidRPr="00267612">
        <w:t>documentation systems and procedures, including:</w:t>
      </w:r>
    </w:p>
    <w:p w:rsidR="00000000" w:rsidRPr="00267612" w:rsidP="00267612">
      <w:pPr>
        <w:pStyle w:val="ListBullet2"/>
      </w:pPr>
      <w:r w:rsidRPr="00267612">
        <w:t>record keeping to meet both company and legal requirements</w:t>
      </w:r>
    </w:p>
    <w:p w:rsidR="00000000" w:rsidRPr="00267612" w:rsidP="00267612">
      <w:pPr>
        <w:pStyle w:val="ListBullet2"/>
      </w:pPr>
      <w:r w:rsidRPr="00267612">
        <w:t>processes for dev</w:t>
      </w:r>
      <w:r w:rsidRPr="00267612">
        <w:t>eloping or reviewing workplace procedures</w:t>
      </w:r>
    </w:p>
    <w:p w:rsidR="00000000" w:rsidRPr="00267612" w:rsidP="00267612">
      <w:pPr>
        <w:pStyle w:val="ListBullet2"/>
      </w:pPr>
      <w:r w:rsidRPr="00267612">
        <w:t>document control systems used in the workplace</w:t>
      </w:r>
    </w:p>
    <w:p w:rsidR="00000000" w:rsidRPr="00267612" w:rsidP="00267612">
      <w:pPr>
        <w:pStyle w:val="ListBullet2"/>
      </w:pPr>
      <w:r w:rsidRPr="00267612">
        <w:t>responsibilities for reporting and recording information.</w:t>
      </w:r>
    </w:p>
    <w:p w:rsidR="00000000" w:rsidRPr="00267612" w:rsidP="00267612">
      <w:pPr>
        <w:pStyle w:val="AllowPageBreak"/>
      </w:pPr>
    </w:p>
    <w:p w:rsidR="00000000" w:rsidRPr="00267612" w:rsidP="00267612">
      <w:pPr>
        <w:pStyle w:val="Heading1"/>
      </w:pPr>
      <w:bookmarkStart w:id="12" w:name="O_997886"/>
      <w:bookmarkEnd w:id="12"/>
      <w:r w:rsidRPr="00267612">
        <w:t>Assessment Conditions</w:t>
      </w:r>
    </w:p>
    <w:p w:rsidR="00000000" w:rsidRPr="00267612" w:rsidP="00B73430">
      <w:pPr>
        <w:pStyle w:val="BodyText"/>
      </w:pPr>
      <w:r w:rsidRPr="00267612">
        <w:t>Assessment of skills must take place under the following conditions:</w:t>
      </w:r>
    </w:p>
    <w:p w:rsidR="00000000" w:rsidRPr="00267612" w:rsidP="00267612">
      <w:pPr>
        <w:pStyle w:val="ListBullet"/>
      </w:pPr>
      <w:r w:rsidRPr="00267612">
        <w:t>physical conditions:</w:t>
      </w:r>
    </w:p>
    <w:p w:rsidR="00000000" w:rsidRPr="00267612" w:rsidP="00267612">
      <w:pPr>
        <w:pStyle w:val="ListBullet2"/>
      </w:pPr>
      <w:r w:rsidRPr="00267612">
        <w:t>a pharmaceutical manufacturing workplace or an environment that accurately represents workplace conditions</w:t>
      </w:r>
    </w:p>
    <w:p w:rsidR="00000000" w:rsidRPr="00267612" w:rsidP="00267612">
      <w:pPr>
        <w:pStyle w:val="ListBullet"/>
      </w:pPr>
      <w:r w:rsidRPr="00267612">
        <w:t>resources, equipment and materials:</w:t>
      </w:r>
    </w:p>
    <w:p w:rsidR="00000000" w:rsidRPr="00267612" w:rsidP="00267612">
      <w:pPr>
        <w:pStyle w:val="ListBullet2"/>
      </w:pPr>
      <w:r w:rsidRPr="00267612">
        <w:t>workplace procedures and documentation relating to non-conformance</w:t>
      </w:r>
    </w:p>
    <w:p w:rsidR="00000000" w:rsidRPr="00267612" w:rsidP="00267612">
      <w:pPr>
        <w:pStyle w:val="ListBullet"/>
      </w:pPr>
      <w:r w:rsidRPr="00267612">
        <w:t>specifications:</w:t>
      </w:r>
    </w:p>
    <w:p w:rsidR="00000000" w:rsidRPr="00267612" w:rsidP="00267612">
      <w:pPr>
        <w:pStyle w:val="ListBullet2"/>
      </w:pPr>
      <w:r w:rsidRPr="00267612">
        <w:t>CAPA</w:t>
      </w:r>
      <w:r w:rsidRPr="00267612">
        <w:t xml:space="preserve"> documentation</w:t>
      </w:r>
    </w:p>
    <w:p w:rsidR="00000000" w:rsidRPr="00267612" w:rsidP="00267612">
      <w:pPr>
        <w:pStyle w:val="ListBullet2"/>
      </w:pPr>
      <w:r w:rsidRPr="00267612">
        <w:t>workplace procedures relating to responding to non-conformance</w:t>
      </w:r>
    </w:p>
    <w:p w:rsidR="00000000" w:rsidRPr="00267612" w:rsidP="00267612">
      <w:pPr>
        <w:pStyle w:val="ListBullet2"/>
      </w:pPr>
      <w:r w:rsidRPr="00267612">
        <w:t>GMP requirements related to responding to non-conformance</w:t>
      </w:r>
    </w:p>
    <w:p w:rsidR="00000000" w:rsidRPr="00267612" w:rsidP="00267612">
      <w:pPr>
        <w:pStyle w:val="ListBullet2"/>
      </w:pPr>
      <w:r w:rsidRPr="00267612">
        <w:t>provisions of the Therapeutic Goods Act relating to identifying non-conformance</w:t>
      </w:r>
    </w:p>
    <w:p w:rsidR="00000000" w:rsidRPr="00267612" w:rsidP="00267612">
      <w:pPr>
        <w:pStyle w:val="ListBullet"/>
      </w:pPr>
      <w:r w:rsidRPr="00267612">
        <w:t>relationships:</w:t>
      </w:r>
    </w:p>
    <w:p w:rsidR="00000000" w:rsidRPr="00267612" w:rsidP="00267612">
      <w:pPr>
        <w:pStyle w:val="ListBullet2"/>
      </w:pPr>
      <w:r w:rsidRPr="00267612">
        <w:t>team members.</w:t>
      </w:r>
    </w:p>
    <w:p w:rsidR="00000000" w:rsidRPr="00267612" w:rsidP="00B73430">
      <w:pPr>
        <w:pStyle w:val="BodyText"/>
      </w:pPr>
      <w:r w:rsidRPr="00267612">
        <w:t>Assessors</w:t>
      </w:r>
      <w:r w:rsidRPr="00267612">
        <w:t xml:space="preserve"> of this unit must satisfy the requirements for assessors in applicable vocational education and training legislation, frameworks and/or standards.</w:t>
      </w:r>
    </w:p>
    <w:p w:rsidR="00000000" w:rsidRPr="00267612" w:rsidP="00267612">
      <w:pPr>
        <w:pStyle w:val="Heading1"/>
      </w:pPr>
      <w:bookmarkStart w:id="13" w:name="O_997889"/>
      <w:bookmarkEnd w:id="13"/>
      <w:r w:rsidRPr="00267612">
        <w:t>Links</w:t>
      </w:r>
    </w:p>
    <w:p w:rsidR="00000000" w:rsidRPr="00267612" w:rsidP="00B73430">
      <w:pPr>
        <w:pStyle w:val="BodyText"/>
      </w:pPr>
      <w:r w:rsidRPr="00267612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17698C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267612" w:rsidP="00267612"/>
    <w:sectPr w:rsidSect="0026761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761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7612" w:rsidRPr="00B73430" w:rsidP="00B7343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761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3430" w:rsidP="0026761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73430" w:rsidP="0026761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B73430" w:rsidP="0026761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7612" w:rsidP="0026761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73430">
      <w:t>Approved</w:t>
    </w:r>
    <w:r w:rsidR="00B7343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7343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73430">
      <w:rPr>
        <w:noProof/>
      </w:rPr>
      <w:t>4</w:t>
    </w:r>
    <w:r>
      <w:rPr>
        <w:noProof/>
      </w:rPr>
      <w:fldChar w:fldCharType="end"/>
    </w:r>
  </w:p>
  <w:p w:rsidR="00267612" w:rsidP="0026761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7343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73430">
      <w:t>Manufacturing Industry Skills Alliance</w:t>
    </w:r>
    <w:r w:rsidR="00B73430">
      <w:fldChar w:fldCharType="end"/>
    </w:r>
  </w:p>
  <w:p w:rsidR="00267612" w:rsidP="0026761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761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343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67612" w:rsidRPr="00B73430" w:rsidP="00B7343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761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3430" w:rsidRPr="002D2AF8" w:rsidP="0026761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FBPPHM4006 Respond to non-conformance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73430" w:rsidP="0026761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7612" w:rsidRPr="002D2AF8" w:rsidP="0026761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73430">
      <w:t>FBPPHM4006 Respond to non-conformance</w:t>
    </w:r>
    <w:r w:rsidR="00B7343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73430">
      <w:rPr>
        <w:noProof/>
      </w:rPr>
      <w:t>2 March 2025</w:t>
    </w:r>
    <w:r>
      <w:fldChar w:fldCharType="end"/>
    </w:r>
  </w:p>
  <w:p w:rsidR="00267612" w:rsidP="0026761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EC4273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26EF3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E78A55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761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6761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6761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6761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6761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6761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6761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6761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6761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6761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6761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67612"/>
  </w:style>
  <w:style w:type="character" w:customStyle="1" w:styleId="Heading1Char">
    <w:name w:val="Heading 1 Char"/>
    <w:basedOn w:val="DefaultParagraphFont"/>
    <w:link w:val="Heading1"/>
    <w:rsid w:val="0026761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6761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6761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6761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67612"/>
    <w:rPr>
      <w:b/>
      <w:spacing w:val="0"/>
    </w:rPr>
  </w:style>
  <w:style w:type="paragraph" w:styleId="ListBullet2">
    <w:name w:val="List Bullet 2"/>
    <w:basedOn w:val="List2"/>
    <w:rsid w:val="0026761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67612"/>
    <w:rPr>
      <w:i/>
    </w:rPr>
  </w:style>
  <w:style w:type="paragraph" w:customStyle="1" w:styleId="SuperHeading">
    <w:name w:val="SuperHeading"/>
    <w:basedOn w:val="Normal"/>
    <w:rsid w:val="0026761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6761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6761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6761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6761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676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676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676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676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6761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6761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6761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6761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6761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6761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6761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6761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6761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6761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6761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6761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6761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6761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6761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6761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6761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6761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6761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6761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6761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6761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6761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6761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6761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6761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6761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6761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67612"/>
  </w:style>
  <w:style w:type="paragraph" w:styleId="TableofFigures">
    <w:name w:val="table of figures"/>
    <w:basedOn w:val="Normal"/>
    <w:next w:val="Normal"/>
    <w:semiHidden/>
    <w:rsid w:val="0026761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6761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67612"/>
    <w:rPr>
      <w:rFonts w:ascii="Wingdings" w:hAnsi="Wingdings"/>
    </w:rPr>
  </w:style>
  <w:style w:type="paragraph" w:customStyle="1" w:styleId="TableHeading">
    <w:name w:val="Table Heading"/>
    <w:basedOn w:val="HeadingBase"/>
    <w:rsid w:val="0026761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67612"/>
    <w:rPr>
      <w:color w:val="0033CC"/>
      <w:u w:val="none"/>
    </w:rPr>
  </w:style>
  <w:style w:type="paragraph" w:customStyle="1" w:styleId="BodyTextRight">
    <w:name w:val="Body Text Right"/>
    <w:basedOn w:val="BodyText"/>
    <w:rsid w:val="0026761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6761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6761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6761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6761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6761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67612"/>
    <w:rPr>
      <w:sz w:val="32"/>
    </w:rPr>
  </w:style>
  <w:style w:type="paragraph" w:customStyle="1" w:styleId="HeadingProcedure">
    <w:name w:val="Heading Procedure"/>
    <w:basedOn w:val="HeadingBase"/>
    <w:next w:val="Normal"/>
    <w:rsid w:val="0026761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67612"/>
    <w:pPr>
      <w:spacing w:before="60" w:after="60"/>
    </w:pPr>
  </w:style>
  <w:style w:type="paragraph" w:styleId="ListContinue">
    <w:name w:val="List Continue"/>
    <w:basedOn w:val="List"/>
    <w:rsid w:val="00267612"/>
    <w:pPr>
      <w:ind w:firstLine="0"/>
    </w:pPr>
  </w:style>
  <w:style w:type="paragraph" w:customStyle="1" w:styleId="ListNote">
    <w:name w:val="List Note"/>
    <w:basedOn w:val="List"/>
    <w:rsid w:val="0026761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6761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6761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67612"/>
    <w:rPr>
      <w:rFonts w:ascii="Courier New" w:hAnsi="Courier New"/>
    </w:rPr>
  </w:style>
  <w:style w:type="paragraph" w:customStyle="1" w:styleId="NoteBullet">
    <w:name w:val="Note Bullet"/>
    <w:basedOn w:val="Note"/>
    <w:rsid w:val="0026761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6761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6761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6761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6761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6761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6761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67612"/>
    <w:rPr>
      <w:b/>
      <w:smallCaps/>
    </w:rPr>
  </w:style>
  <w:style w:type="paragraph" w:customStyle="1" w:styleId="TableListNumber">
    <w:name w:val="Table List Number"/>
    <w:basedOn w:val="ListNumber"/>
    <w:rsid w:val="0026761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6761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67612"/>
    <w:pPr>
      <w:numPr>
        <w:numId w:val="9"/>
      </w:numPr>
    </w:pPr>
  </w:style>
  <w:style w:type="paragraph" w:customStyle="1" w:styleId="ListAlpha2">
    <w:name w:val="List Alpha 2"/>
    <w:basedOn w:val="List2"/>
    <w:rsid w:val="00267612"/>
    <w:pPr>
      <w:numPr>
        <w:numId w:val="8"/>
      </w:numPr>
    </w:pPr>
  </w:style>
  <w:style w:type="paragraph" w:styleId="List2">
    <w:name w:val="List 2"/>
    <w:basedOn w:val="BodyText"/>
    <w:rsid w:val="0026761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6761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6761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6761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6761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6761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67612"/>
    <w:pPr>
      <w:numPr>
        <w:numId w:val="4"/>
      </w:numPr>
    </w:pPr>
  </w:style>
  <w:style w:type="paragraph" w:styleId="ListContinue2">
    <w:name w:val="List Continue 2"/>
    <w:basedOn w:val="List2"/>
    <w:rsid w:val="00267612"/>
    <w:pPr>
      <w:ind w:firstLine="0"/>
    </w:pPr>
  </w:style>
  <w:style w:type="paragraph" w:styleId="ListContinue3">
    <w:name w:val="List Continue 3"/>
    <w:basedOn w:val="List3"/>
    <w:rsid w:val="00267612"/>
    <w:pPr>
      <w:ind w:left="1021" w:firstLine="0"/>
    </w:pPr>
  </w:style>
  <w:style w:type="paragraph" w:styleId="ListContinue4">
    <w:name w:val="List Continue 4"/>
    <w:basedOn w:val="List4"/>
    <w:rsid w:val="00267612"/>
    <w:pPr>
      <w:ind w:firstLine="0"/>
    </w:pPr>
  </w:style>
  <w:style w:type="paragraph" w:styleId="ListContinue5">
    <w:name w:val="List Continue 5"/>
    <w:basedOn w:val="List5"/>
    <w:rsid w:val="00267612"/>
    <w:pPr>
      <w:ind w:firstLine="0"/>
    </w:pPr>
  </w:style>
  <w:style w:type="paragraph" w:styleId="ListNumber3">
    <w:name w:val="List Number 3"/>
    <w:basedOn w:val="List3"/>
    <w:rsid w:val="00267612"/>
    <w:pPr>
      <w:numPr>
        <w:numId w:val="5"/>
      </w:numPr>
    </w:pPr>
  </w:style>
  <w:style w:type="paragraph" w:styleId="ListNumber4">
    <w:name w:val="List Number 4"/>
    <w:basedOn w:val="List4"/>
    <w:rsid w:val="00267612"/>
    <w:pPr>
      <w:numPr>
        <w:numId w:val="6"/>
      </w:numPr>
    </w:pPr>
  </w:style>
  <w:style w:type="paragraph" w:styleId="ListNumber5">
    <w:name w:val="List Number 5"/>
    <w:basedOn w:val="List5"/>
    <w:rsid w:val="00267612"/>
    <w:pPr>
      <w:numPr>
        <w:numId w:val="7"/>
      </w:numPr>
    </w:pPr>
  </w:style>
  <w:style w:type="paragraph" w:styleId="BlockText">
    <w:name w:val="Block Text"/>
    <w:basedOn w:val="Normal"/>
    <w:rsid w:val="0026761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6761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67612"/>
    <w:rPr>
      <w:sz w:val="16"/>
      <w:vertAlign w:val="superscript"/>
    </w:rPr>
  </w:style>
  <w:style w:type="character" w:customStyle="1" w:styleId="Symbols">
    <w:name w:val="Symbols"/>
    <w:basedOn w:val="DefaultParagraphFont"/>
    <w:rsid w:val="00267612"/>
    <w:rPr>
      <w:rFonts w:ascii="Symbol" w:hAnsi="Symbol"/>
    </w:rPr>
  </w:style>
  <w:style w:type="character" w:customStyle="1" w:styleId="MenuOptions">
    <w:name w:val="Menu Options"/>
    <w:basedOn w:val="DefaultParagraphFont"/>
    <w:rsid w:val="0026761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67612"/>
    <w:rPr>
      <w:b/>
    </w:rPr>
  </w:style>
  <w:style w:type="character" w:customStyle="1" w:styleId="Underlined">
    <w:name w:val="Underlined"/>
    <w:basedOn w:val="DefaultParagraphFont"/>
    <w:rsid w:val="00267612"/>
    <w:rPr>
      <w:u w:val="single"/>
    </w:rPr>
  </w:style>
  <w:style w:type="paragraph" w:customStyle="1" w:styleId="TableBodyTextRight">
    <w:name w:val="Table Body Text Right"/>
    <w:basedOn w:val="TableBodyText"/>
    <w:rsid w:val="0026761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67612"/>
    <w:rPr>
      <w:sz w:val="18"/>
    </w:rPr>
  </w:style>
  <w:style w:type="paragraph" w:customStyle="1" w:styleId="BodySmallRight">
    <w:name w:val="Body Small Right"/>
    <w:basedOn w:val="BodyTextRight"/>
    <w:rsid w:val="00267612"/>
    <w:rPr>
      <w:sz w:val="18"/>
      <w:szCs w:val="18"/>
    </w:rPr>
  </w:style>
  <w:style w:type="paragraph" w:customStyle="1" w:styleId="MarginEdition">
    <w:name w:val="Margin Edition"/>
    <w:basedOn w:val="MarginNote"/>
    <w:rsid w:val="0026761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67612"/>
    <w:rPr>
      <w:sz w:val="2"/>
      <w:szCs w:val="2"/>
    </w:rPr>
  </w:style>
  <w:style w:type="character" w:customStyle="1" w:styleId="Small">
    <w:name w:val="Small"/>
    <w:basedOn w:val="DefaultParagraphFont"/>
    <w:rsid w:val="00267612"/>
    <w:rPr>
      <w:sz w:val="16"/>
    </w:rPr>
  </w:style>
  <w:style w:type="paragraph" w:customStyle="1" w:styleId="WideTable">
    <w:name w:val="Wide Table"/>
    <w:basedOn w:val="Normal"/>
    <w:rsid w:val="0026761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67612"/>
  </w:style>
  <w:style w:type="paragraph" w:styleId="Quote">
    <w:name w:val="Quote"/>
    <w:basedOn w:val="Heading1"/>
    <w:link w:val="QuoteChar"/>
    <w:qFormat/>
    <w:rsid w:val="0026761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6761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67612"/>
    <w:pPr>
      <w:pageBreakBefore/>
    </w:pPr>
  </w:style>
  <w:style w:type="paragraph" w:customStyle="1" w:styleId="Border">
    <w:name w:val="Border"/>
    <w:basedOn w:val="Normal"/>
    <w:qFormat/>
    <w:rsid w:val="0026761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6761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761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761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6761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6761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6761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6761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6761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67612"/>
    <w:rPr>
      <w:u w:val="single"/>
    </w:rPr>
  </w:style>
  <w:style w:type="character" w:customStyle="1" w:styleId="BoldandItalics">
    <w:name w:val="Bold and Italics"/>
    <w:qFormat/>
    <w:rsid w:val="00267612"/>
    <w:rPr>
      <w:b/>
      <w:i/>
      <w:u w:val="none"/>
    </w:rPr>
  </w:style>
  <w:style w:type="paragraph" w:styleId="BalloonText">
    <w:name w:val="Balloon Text"/>
    <w:basedOn w:val="Normal"/>
    <w:link w:val="BalloonTextChar"/>
    <w:rsid w:val="0026761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6761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6761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6761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6761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6761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67612"/>
    <w:pPr>
      <w:spacing w:before="0" w:after="0"/>
    </w:pPr>
  </w:style>
  <w:style w:type="paragraph" w:customStyle="1" w:styleId="BodyTextBold">
    <w:name w:val="Body Text Bold"/>
    <w:basedOn w:val="BodyText"/>
    <w:qFormat/>
    <w:rsid w:val="00267612"/>
    <w:rPr>
      <w:b/>
    </w:rPr>
  </w:style>
  <w:style w:type="character" w:styleId="Hyperlink">
    <w:name w:val="Hyperlink"/>
    <w:basedOn w:val="DefaultParagraphFont"/>
    <w:uiPriority w:val="99"/>
    <w:unhideWhenUsed/>
    <w:rsid w:val="00B7343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854</Words>
  <Characters>6204</Characters>
  <Application>Microsoft Office Word</Application>
  <DocSecurity>0</DocSecurity>
  <Lines>206</Lines>
  <Paragraphs>144</Paragraphs>
  <ScaleCrop>false</ScaleCrop>
  <Company>Author-it Software Corporation Ltd.</Company>
  <LinksUpToDate>false</LinksUpToDate>
  <CharactersWithSpaces>6914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FBPPHM4006 Respond to non-conformance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2025-03-01T19:46:00Z</dcterms:created>
  <dcterms:modified xsi:type="dcterms:W3CDTF">2025-03-01T19:46:00Z</dcterms:modified>
</cp:coreProperties>
</file>