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A9A" w:rsidP="009D1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FBPPHM4006 Respond to non-conformance</w:t>
      </w:r>
      <w:r>
        <w:fldChar w:fldCharType="end"/>
      </w:r>
    </w:p>
    <w:p w:rsidR="009D1A9A" w:rsidP="009D1A9A">
      <w:pPr>
        <w:pStyle w:val="Version"/>
        <w:sectPr w:rsidSect="00477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2BF" w:rsidP="004772BF">
      <w:pPr>
        <w:pStyle w:val="SuperHeading"/>
      </w:pPr>
      <w:r w:rsidRPr="004772BF">
        <w:t>Assessment Requirements for FBPPHM4006 Respond to non-conformance</w:t>
      </w:r>
    </w:p>
    <w:p w:rsidR="00000000" w:rsidRPr="004772BF" w:rsidP="004772BF">
      <w:pPr>
        <w:pStyle w:val="Heading1"/>
      </w:pPr>
      <w:bookmarkStart w:id="1" w:name="O_997883"/>
      <w:bookmarkEnd w:id="1"/>
      <w:r w:rsidRPr="004772B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9"/>
        <w:gridCol w:w="6727"/>
      </w:tblGrid>
      <w:tr w:rsidTr="009D1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BF" w:rsidP="004772BF">
            <w:pPr>
              <w:pStyle w:val="BodyText"/>
            </w:pPr>
            <w:r w:rsidRPr="004772B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BF">
            <w:pPr>
              <w:pStyle w:val="BodyText"/>
              <w:rPr>
                <w:lang w:val="en-NZ"/>
              </w:rPr>
            </w:pPr>
            <w:r w:rsidRPr="004772BF">
              <w:rPr>
                <w:rStyle w:val="SpecialBold"/>
              </w:rPr>
              <w:t>Comments</w:t>
            </w:r>
          </w:p>
        </w:tc>
      </w:tr>
      <w:tr w:rsidTr="009D1A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BF">
            <w:pPr>
              <w:pStyle w:val="BodyText"/>
              <w:rPr>
                <w:lang w:val="en-NZ"/>
              </w:rPr>
            </w:pPr>
            <w:r w:rsidRPr="004772B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BF" w:rsidP="004772BF">
            <w:pPr>
              <w:pStyle w:val="BodyText"/>
            </w:pPr>
            <w:r w:rsidRPr="004772BF">
              <w:t>This version released with FBP Food, Beverage and Pharmaceutical Training Package Version 2.0.</w:t>
            </w:r>
          </w:p>
        </w:tc>
      </w:tr>
    </w:tbl>
    <w:p w:rsidR="00000000" w:rsidRPr="004772BF" w:rsidP="004772BF">
      <w:pPr>
        <w:pStyle w:val="BodyText"/>
      </w:pPr>
    </w:p>
    <w:p w:rsidR="00000000" w:rsidRPr="004772BF" w:rsidP="004772BF">
      <w:pPr>
        <w:pStyle w:val="AllowPageBreak"/>
      </w:pPr>
    </w:p>
    <w:p w:rsidR="00000000" w:rsidRPr="004772BF" w:rsidP="004772BF">
      <w:pPr>
        <w:pStyle w:val="Heading1"/>
      </w:pPr>
      <w:bookmarkStart w:id="2" w:name="O_997884"/>
      <w:bookmarkEnd w:id="2"/>
      <w:r w:rsidRPr="004772BF">
        <w:t>Performance Evidence</w:t>
      </w:r>
    </w:p>
    <w:p w:rsidR="00000000" w:rsidRPr="004772BF" w:rsidP="009D1A9A">
      <w:pPr>
        <w:pStyle w:val="BodyText"/>
      </w:pPr>
      <w:r w:rsidRPr="004772BF">
        <w:t>An individual demonstrating competency in this unit must satisfy all the elements and performance criteria of this unit.</w:t>
      </w:r>
    </w:p>
    <w:p w:rsidR="00000000" w:rsidRPr="004772BF" w:rsidP="009D1A9A">
      <w:pPr>
        <w:pStyle w:val="BodyText"/>
      </w:pPr>
      <w:r w:rsidRPr="004772BF">
        <w:t>There must be evidence that the individual has responded to at least one non-conformance, including:</w:t>
      </w:r>
    </w:p>
    <w:p w:rsidR="00000000" w:rsidRPr="004772BF" w:rsidP="004772BF">
      <w:pPr>
        <w:pStyle w:val="ListBullet"/>
      </w:pPr>
      <w:r w:rsidRPr="004772BF">
        <w:t>identified w</w:t>
      </w:r>
      <w:r w:rsidRPr="004772BF">
        <w:t>orkplace procedures and documentation relating to non-conformance</w:t>
      </w:r>
    </w:p>
    <w:p w:rsidR="00000000" w:rsidRPr="004772BF" w:rsidP="004772BF">
      <w:pPr>
        <w:pStyle w:val="ListBullet"/>
      </w:pPr>
      <w:r w:rsidRPr="004772BF">
        <w:t>interpreted Good Manufacturing Practice (GMP) requirements and workplace procedures related to non-conformance</w:t>
      </w:r>
    </w:p>
    <w:p w:rsidR="00000000" w:rsidRPr="004772BF" w:rsidP="004772BF">
      <w:pPr>
        <w:pStyle w:val="ListBullet"/>
      </w:pPr>
      <w:r w:rsidRPr="004772BF">
        <w:t>identified workplace non-conformance change management procedures and responsibilities, including:</w:t>
      </w:r>
    </w:p>
    <w:p w:rsidR="00000000" w:rsidRPr="004772BF" w:rsidP="004772BF">
      <w:pPr>
        <w:pStyle w:val="ListBullet2"/>
      </w:pPr>
      <w:r w:rsidRPr="004772BF">
        <w:t>corrective and preventive actions (CAPA)</w:t>
      </w:r>
    </w:p>
    <w:p w:rsidR="00000000" w:rsidRPr="004772BF" w:rsidP="004772BF">
      <w:pPr>
        <w:pStyle w:val="ListBullet2"/>
      </w:pPr>
      <w:r w:rsidRPr="004772BF">
        <w:t>investigating possible causes of non-conformance</w:t>
      </w:r>
    </w:p>
    <w:p w:rsidR="00000000" w:rsidRPr="004772BF" w:rsidP="004772BF">
      <w:pPr>
        <w:pStyle w:val="ListBullet2"/>
      </w:pPr>
      <w:r w:rsidRPr="004772BF">
        <w:t>root cause analysis (RCA)</w:t>
      </w:r>
    </w:p>
    <w:p w:rsidR="00000000" w:rsidRPr="004772BF" w:rsidP="004772BF">
      <w:pPr>
        <w:pStyle w:val="ListBullet2"/>
      </w:pPr>
      <w:r w:rsidRPr="004772BF">
        <w:t>risk assessment</w:t>
      </w:r>
    </w:p>
    <w:p w:rsidR="00000000" w:rsidRPr="004772BF" w:rsidP="004772BF">
      <w:pPr>
        <w:pStyle w:val="ListBullet2"/>
      </w:pPr>
      <w:r w:rsidRPr="004772BF">
        <w:t>repeat incident</w:t>
      </w:r>
    </w:p>
    <w:p w:rsidR="00000000" w:rsidRPr="004772BF" w:rsidP="004772BF">
      <w:pPr>
        <w:pStyle w:val="ListBullet2"/>
      </w:pPr>
      <w:r w:rsidRPr="004772BF">
        <w:t>isolated</w:t>
      </w:r>
      <w:r w:rsidRPr="004772BF">
        <w:t xml:space="preserve"> incident</w:t>
      </w:r>
    </w:p>
    <w:p w:rsidR="00000000" w:rsidRPr="004772BF" w:rsidP="004772BF">
      <w:pPr>
        <w:pStyle w:val="ListBullet2"/>
      </w:pPr>
      <w:r w:rsidRPr="004772BF">
        <w:t>impact assessment</w:t>
      </w:r>
    </w:p>
    <w:p w:rsidR="00000000" w:rsidRPr="004772BF" w:rsidP="004772BF">
      <w:pPr>
        <w:pStyle w:val="ListBullet2"/>
      </w:pPr>
      <w:r w:rsidRPr="004772BF">
        <w:t>recording requirements</w:t>
      </w:r>
    </w:p>
    <w:p w:rsidR="00000000" w:rsidRPr="004772BF" w:rsidP="004772BF">
      <w:pPr>
        <w:pStyle w:val="ListBullet"/>
      </w:pPr>
      <w:r w:rsidRPr="004772BF">
        <w:t>reviewed responses to previous incidents to assess effectiveness and developed recommendations on appropriate workplace procedures</w:t>
      </w:r>
    </w:p>
    <w:p w:rsidR="00000000" w:rsidRPr="004772BF" w:rsidP="004772BF">
      <w:pPr>
        <w:pStyle w:val="ListBullet"/>
      </w:pPr>
      <w:r w:rsidRPr="004772BF">
        <w:t>communicated implementation plan requirements to others in the work area,</w:t>
      </w:r>
      <w:r w:rsidRPr="004772BF">
        <w:t xml:space="preserve"> including demonstrating:</w:t>
      </w:r>
    </w:p>
    <w:p w:rsidR="00000000" w:rsidRPr="004772BF" w:rsidP="004772BF">
      <w:pPr>
        <w:pStyle w:val="ListBullet2"/>
      </w:pPr>
      <w:r w:rsidRPr="004772BF">
        <w:t>two-way communication</w:t>
      </w:r>
    </w:p>
    <w:p w:rsidR="00000000" w:rsidRPr="004772BF" w:rsidP="004772BF">
      <w:pPr>
        <w:pStyle w:val="ListBullet2"/>
      </w:pPr>
      <w:r w:rsidRPr="004772BF">
        <w:t>active listening</w:t>
      </w:r>
    </w:p>
    <w:p w:rsidR="00000000" w:rsidRPr="004772BF" w:rsidP="004772BF">
      <w:pPr>
        <w:pStyle w:val="ListBullet2"/>
      </w:pPr>
      <w:r w:rsidRPr="004772BF">
        <w:t>constructive responses to feedback.</w:t>
      </w:r>
    </w:p>
    <w:p w:rsidR="00000000" w:rsidRPr="004772BF" w:rsidP="004772BF">
      <w:pPr>
        <w:pStyle w:val="AllowPageBreak"/>
      </w:pPr>
    </w:p>
    <w:p w:rsidR="00000000" w:rsidRPr="004772BF" w:rsidP="004772BF">
      <w:pPr>
        <w:pStyle w:val="Heading1"/>
      </w:pPr>
      <w:bookmarkStart w:id="3" w:name="O_997885"/>
      <w:bookmarkEnd w:id="3"/>
      <w:r w:rsidRPr="004772BF">
        <w:t>Knowledge Evidence</w:t>
      </w:r>
    </w:p>
    <w:p w:rsidR="00000000" w:rsidRPr="004772BF" w:rsidP="009D1A9A">
      <w:pPr>
        <w:pStyle w:val="BodyText"/>
      </w:pPr>
      <w:r w:rsidRPr="004772BF">
        <w:t>An individual must be able to demonstrate the knowledge requir</w:t>
      </w:r>
      <w:r w:rsidRPr="004772BF">
        <w:t>ed to perform the tasks outlined in the elements and performance criteria of this unit. This includes knowledge of:</w:t>
      </w:r>
    </w:p>
    <w:p w:rsidR="00000000" w:rsidRPr="004772BF" w:rsidP="004772BF">
      <w:pPr>
        <w:pStyle w:val="ListBullet"/>
      </w:pPr>
      <w:r w:rsidRPr="004772BF">
        <w:t>workplace non-conformance change management procedures and responsibilities, including:</w:t>
      </w:r>
    </w:p>
    <w:p w:rsidR="00000000" w:rsidRPr="004772BF" w:rsidP="004772BF">
      <w:pPr>
        <w:pStyle w:val="ListBullet2"/>
      </w:pPr>
      <w:r w:rsidRPr="004772BF">
        <w:t>CAPA</w:t>
      </w:r>
    </w:p>
    <w:p w:rsidR="00000000" w:rsidRPr="004772BF" w:rsidP="004772BF">
      <w:pPr>
        <w:pStyle w:val="ListBullet2"/>
      </w:pPr>
      <w:r w:rsidRPr="004772BF">
        <w:t>investigating possible causes of non-conforma</w:t>
      </w:r>
      <w:r w:rsidRPr="004772BF">
        <w:t>nce</w:t>
      </w:r>
    </w:p>
    <w:p w:rsidR="00000000" w:rsidRPr="004772BF" w:rsidP="004772BF">
      <w:pPr>
        <w:pStyle w:val="ListBullet2"/>
      </w:pPr>
      <w:r w:rsidRPr="004772BF">
        <w:t>RCA</w:t>
      </w:r>
    </w:p>
    <w:p w:rsidR="00000000" w:rsidRPr="004772BF" w:rsidP="004772BF">
      <w:pPr>
        <w:pStyle w:val="ListBullet2"/>
      </w:pPr>
      <w:r w:rsidRPr="004772BF">
        <w:t>risk assessment</w:t>
      </w:r>
    </w:p>
    <w:p w:rsidR="00000000" w:rsidRPr="004772BF" w:rsidP="004772BF">
      <w:pPr>
        <w:pStyle w:val="ListBullet2"/>
      </w:pPr>
      <w:r w:rsidRPr="004772BF">
        <w:t>repeat incident</w:t>
      </w:r>
    </w:p>
    <w:p w:rsidR="00000000" w:rsidRPr="004772BF" w:rsidP="004772BF">
      <w:pPr>
        <w:pStyle w:val="ListBullet2"/>
      </w:pPr>
      <w:r w:rsidRPr="004772BF">
        <w:t>isolated incident</w:t>
      </w:r>
    </w:p>
    <w:p w:rsidR="00000000" w:rsidRPr="004772BF" w:rsidP="004772BF">
      <w:pPr>
        <w:pStyle w:val="ListBullet2"/>
      </w:pPr>
      <w:r w:rsidRPr="004772BF">
        <w:t>impact assessment</w:t>
      </w:r>
    </w:p>
    <w:p w:rsidR="00000000" w:rsidRPr="004772BF" w:rsidP="004772BF">
      <w:pPr>
        <w:pStyle w:val="ListBullet2"/>
      </w:pPr>
      <w:r w:rsidRPr="004772BF">
        <w:t>recording requirements</w:t>
      </w:r>
    </w:p>
    <w:p w:rsidR="00000000" w:rsidRPr="004772BF" w:rsidP="004772BF">
      <w:pPr>
        <w:pStyle w:val="ListBullet"/>
      </w:pPr>
      <w:r w:rsidRPr="004772BF">
        <w:t>the provisions of the Therapeutic Goods Act relating to identifying non-conformance, including customer complaints, product recalls and auditing</w:t>
      </w:r>
    </w:p>
    <w:p w:rsidR="00000000" w:rsidRPr="004772BF" w:rsidP="004772BF">
      <w:pPr>
        <w:pStyle w:val="ListBullet"/>
      </w:pPr>
      <w:r w:rsidRPr="004772BF">
        <w:t>consultation and communication methods used to communicate implementation plan requirements to others in the work area, including demonstrating:</w:t>
      </w:r>
    </w:p>
    <w:p w:rsidR="00000000" w:rsidRPr="004772BF" w:rsidP="004772BF">
      <w:pPr>
        <w:pStyle w:val="ListBullet2"/>
      </w:pPr>
      <w:r w:rsidRPr="004772BF">
        <w:t>two-way communication</w:t>
      </w:r>
    </w:p>
    <w:p w:rsidR="00000000" w:rsidRPr="004772BF" w:rsidP="004772BF">
      <w:pPr>
        <w:pStyle w:val="ListBullet2"/>
      </w:pPr>
      <w:r w:rsidRPr="004772BF">
        <w:t>active listening</w:t>
      </w:r>
    </w:p>
    <w:p w:rsidR="00000000" w:rsidRPr="004772BF" w:rsidP="004772BF">
      <w:pPr>
        <w:pStyle w:val="ListBullet2"/>
      </w:pPr>
      <w:r w:rsidRPr="004772BF">
        <w:t>providing constructive responses to feedback</w:t>
      </w:r>
    </w:p>
    <w:p w:rsidR="00000000" w:rsidRPr="004772BF" w:rsidP="004772BF">
      <w:pPr>
        <w:pStyle w:val="ListBullet"/>
      </w:pPr>
      <w:r w:rsidRPr="004772BF">
        <w:t>GMP requirements and work</w:t>
      </w:r>
      <w:r w:rsidRPr="004772BF">
        <w:t>place procedures relevant to responding to non-conformance</w:t>
      </w:r>
    </w:p>
    <w:p w:rsidR="00000000" w:rsidRPr="004772BF" w:rsidP="004772BF">
      <w:pPr>
        <w:pStyle w:val="ListBullet"/>
      </w:pPr>
      <w:r w:rsidRPr="004772BF">
        <w:t>documentation systems and procedures, including:</w:t>
      </w:r>
    </w:p>
    <w:p w:rsidR="00000000" w:rsidRPr="004772BF" w:rsidP="004772BF">
      <w:pPr>
        <w:pStyle w:val="ListBullet2"/>
      </w:pPr>
      <w:r w:rsidRPr="004772BF">
        <w:t>record keeping to meet both company and legal requirements</w:t>
      </w:r>
    </w:p>
    <w:p w:rsidR="00000000" w:rsidRPr="004772BF" w:rsidP="004772BF">
      <w:pPr>
        <w:pStyle w:val="ListBullet2"/>
      </w:pPr>
      <w:r w:rsidRPr="004772BF">
        <w:t>processes for developing or reviewing workplace procedures</w:t>
      </w:r>
    </w:p>
    <w:p w:rsidR="00000000" w:rsidRPr="004772BF" w:rsidP="004772BF">
      <w:pPr>
        <w:pStyle w:val="ListBullet2"/>
      </w:pPr>
      <w:r w:rsidRPr="004772BF">
        <w:t>document control systems used</w:t>
      </w:r>
      <w:r w:rsidRPr="004772BF">
        <w:t xml:space="preserve"> in the workplace</w:t>
      </w:r>
    </w:p>
    <w:p w:rsidR="00000000" w:rsidRPr="004772BF" w:rsidP="004772BF">
      <w:pPr>
        <w:pStyle w:val="ListBullet2"/>
      </w:pPr>
      <w:r w:rsidRPr="004772BF">
        <w:t>responsibilities for reporting and recording information.</w:t>
      </w:r>
    </w:p>
    <w:p w:rsidR="00000000" w:rsidRPr="004772BF" w:rsidP="004772BF">
      <w:pPr>
        <w:pStyle w:val="AllowPageBreak"/>
      </w:pPr>
    </w:p>
    <w:p w:rsidR="00000000" w:rsidRPr="004772BF" w:rsidP="004772BF">
      <w:pPr>
        <w:pStyle w:val="Heading1"/>
      </w:pPr>
      <w:bookmarkStart w:id="4" w:name="O_997886"/>
      <w:bookmarkEnd w:id="4"/>
      <w:r w:rsidRPr="004772BF">
        <w:t>Assessment Conditions</w:t>
      </w:r>
    </w:p>
    <w:p w:rsidR="00000000" w:rsidRPr="004772BF" w:rsidP="009D1A9A">
      <w:pPr>
        <w:pStyle w:val="BodyText"/>
      </w:pPr>
      <w:r w:rsidRPr="004772BF">
        <w:t>Assessment of skills must take place under the following conditions:</w:t>
      </w:r>
    </w:p>
    <w:p w:rsidR="00000000" w:rsidRPr="004772BF" w:rsidP="004772BF">
      <w:pPr>
        <w:pStyle w:val="ListBullet"/>
      </w:pPr>
      <w:r w:rsidRPr="004772BF">
        <w:t>physical conditions:</w:t>
      </w:r>
    </w:p>
    <w:p w:rsidR="00000000" w:rsidRPr="004772BF" w:rsidP="004772BF">
      <w:pPr>
        <w:pStyle w:val="ListBullet2"/>
      </w:pPr>
      <w:r w:rsidRPr="004772BF">
        <w:t>a pharmaceutical manufacturing workplace or an environment that accurately represents workplace conditions</w:t>
      </w:r>
    </w:p>
    <w:p w:rsidR="00000000" w:rsidRPr="004772BF" w:rsidP="004772BF">
      <w:pPr>
        <w:pStyle w:val="ListBullet"/>
      </w:pPr>
      <w:r w:rsidRPr="004772BF">
        <w:t>resources, equipment and materials:</w:t>
      </w:r>
    </w:p>
    <w:p w:rsidR="00000000" w:rsidRPr="004772BF" w:rsidP="004772BF">
      <w:pPr>
        <w:pStyle w:val="ListBullet2"/>
      </w:pPr>
      <w:r w:rsidRPr="004772BF">
        <w:t>workplace procedures and documentation relating to non-conformance</w:t>
      </w:r>
    </w:p>
    <w:p w:rsidR="00000000" w:rsidRPr="004772BF" w:rsidP="004772BF">
      <w:pPr>
        <w:pStyle w:val="ListBullet"/>
      </w:pPr>
      <w:r w:rsidRPr="004772BF">
        <w:t>specifications:</w:t>
      </w:r>
    </w:p>
    <w:p w:rsidR="00000000" w:rsidRPr="004772BF" w:rsidP="004772BF">
      <w:pPr>
        <w:pStyle w:val="ListBullet2"/>
      </w:pPr>
      <w:r w:rsidRPr="004772BF">
        <w:t>CAPA documentation</w:t>
      </w:r>
    </w:p>
    <w:p w:rsidR="00000000" w:rsidRPr="004772BF" w:rsidP="004772BF">
      <w:pPr>
        <w:pStyle w:val="ListBullet2"/>
      </w:pPr>
      <w:r w:rsidRPr="004772BF">
        <w:t>workpla</w:t>
      </w:r>
      <w:r w:rsidRPr="004772BF">
        <w:t>ce procedures relating to responding to non-conformance</w:t>
      </w:r>
    </w:p>
    <w:p w:rsidR="00000000" w:rsidRPr="004772BF" w:rsidP="004772BF">
      <w:pPr>
        <w:pStyle w:val="ListBullet2"/>
      </w:pPr>
      <w:r w:rsidRPr="004772BF">
        <w:t>GMP requirements related to responding to non-conformance</w:t>
      </w:r>
    </w:p>
    <w:p w:rsidR="00000000" w:rsidRPr="004772BF" w:rsidP="004772BF">
      <w:pPr>
        <w:pStyle w:val="ListBullet2"/>
      </w:pPr>
      <w:r w:rsidRPr="004772BF">
        <w:t>provisions of the Therapeutic Goods Act relating to identifying non-conformance</w:t>
      </w:r>
    </w:p>
    <w:p w:rsidR="00000000" w:rsidRPr="004772BF" w:rsidP="004772BF">
      <w:pPr>
        <w:pStyle w:val="ListBullet"/>
      </w:pPr>
      <w:r w:rsidRPr="004772BF">
        <w:t>relationships:</w:t>
      </w:r>
    </w:p>
    <w:p w:rsidR="00000000" w:rsidRPr="004772BF" w:rsidP="004772BF">
      <w:pPr>
        <w:pStyle w:val="ListBullet2"/>
      </w:pPr>
      <w:r w:rsidRPr="004772BF">
        <w:t>team members.</w:t>
      </w:r>
    </w:p>
    <w:p w:rsidR="00000000" w:rsidRPr="004772BF" w:rsidP="009D1A9A">
      <w:pPr>
        <w:pStyle w:val="BodyText"/>
      </w:pPr>
      <w:r w:rsidRPr="004772BF">
        <w:t>Assessors of this unit must satisfy the requirements for assessors in applicable vocational education and training legislation, frameworks and/or standards.</w:t>
      </w:r>
    </w:p>
    <w:p w:rsidR="00000000" w:rsidRPr="004772BF" w:rsidP="004772BF">
      <w:pPr>
        <w:pStyle w:val="Heading1"/>
      </w:pPr>
      <w:bookmarkStart w:id="5" w:name="O_997889"/>
      <w:bookmarkEnd w:id="5"/>
      <w:r w:rsidRPr="004772BF">
        <w:t>Links</w:t>
      </w:r>
    </w:p>
    <w:p w:rsidR="00000000" w:rsidRPr="004772BF" w:rsidP="009D1A9A">
      <w:pPr>
        <w:pStyle w:val="BodyText"/>
      </w:pPr>
      <w:r w:rsidRPr="004772B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F2DF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772BF" w:rsidP="004772BF"/>
    <w:sectPr w:rsidSect="004772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BF" w:rsidRPr="009D1A9A" w:rsidP="009D1A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9A" w:rsidP="00477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A9A" w:rsidP="00477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D1A9A" w:rsidP="00477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2BF" w:rsidRPr="009D1A9A" w:rsidP="009D1A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9A" w:rsidRPr="002D2AF8" w:rsidP="00477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FBPPHM4006 Respond to non-conformance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D1A9A" w:rsidP="00477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142D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7E7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A2E0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2BF"/>
  </w:style>
  <w:style w:type="character" w:customStyle="1" w:styleId="Heading1Char">
    <w:name w:val="Heading 1 Char"/>
    <w:basedOn w:val="DefaultParagraphFont"/>
    <w:link w:val="Heading1"/>
    <w:rsid w:val="00477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2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2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72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2BF"/>
    <w:rPr>
      <w:b/>
      <w:spacing w:val="0"/>
    </w:rPr>
  </w:style>
  <w:style w:type="paragraph" w:styleId="ListBullet2">
    <w:name w:val="List Bullet 2"/>
    <w:basedOn w:val="List2"/>
    <w:rsid w:val="004772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7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2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7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2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2BF"/>
    <w:rPr>
      <w:i/>
    </w:rPr>
  </w:style>
  <w:style w:type="paragraph" w:styleId="Caption">
    <w:name w:val="caption"/>
    <w:basedOn w:val="BodyText"/>
    <w:next w:val="Normal"/>
    <w:qFormat/>
    <w:rsid w:val="00477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2BF"/>
  </w:style>
  <w:style w:type="paragraph" w:styleId="TableofFigures">
    <w:name w:val="table of figures"/>
    <w:basedOn w:val="Normal"/>
    <w:next w:val="Normal"/>
    <w:semiHidden/>
    <w:rsid w:val="00477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2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72BF"/>
    <w:rPr>
      <w:rFonts w:ascii="Wingdings" w:hAnsi="Wingdings"/>
    </w:rPr>
  </w:style>
  <w:style w:type="paragraph" w:customStyle="1" w:styleId="TableHeading">
    <w:name w:val="Table Heading"/>
    <w:basedOn w:val="HeadingBase"/>
    <w:rsid w:val="00477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2BF"/>
    <w:rPr>
      <w:color w:val="0033CC"/>
      <w:u w:val="none"/>
    </w:rPr>
  </w:style>
  <w:style w:type="paragraph" w:customStyle="1" w:styleId="BodyTextRight">
    <w:name w:val="Body Text Right"/>
    <w:basedOn w:val="BodyText"/>
    <w:rsid w:val="00477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2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2BF"/>
    <w:rPr>
      <w:sz w:val="32"/>
    </w:rPr>
  </w:style>
  <w:style w:type="paragraph" w:customStyle="1" w:styleId="HeadingProcedure">
    <w:name w:val="Heading Procedure"/>
    <w:basedOn w:val="HeadingBase"/>
    <w:next w:val="Normal"/>
    <w:rsid w:val="00477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2BF"/>
    <w:pPr>
      <w:spacing w:before="60" w:after="60"/>
    </w:pPr>
  </w:style>
  <w:style w:type="paragraph" w:styleId="ListContinue">
    <w:name w:val="List Continue"/>
    <w:basedOn w:val="List"/>
    <w:rsid w:val="004772BF"/>
    <w:pPr>
      <w:ind w:firstLine="0"/>
    </w:pPr>
  </w:style>
  <w:style w:type="paragraph" w:customStyle="1" w:styleId="ListNote">
    <w:name w:val="List Note"/>
    <w:basedOn w:val="List"/>
    <w:rsid w:val="00477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2BF"/>
    <w:rPr>
      <w:rFonts w:ascii="Courier New" w:hAnsi="Courier New"/>
    </w:rPr>
  </w:style>
  <w:style w:type="paragraph" w:customStyle="1" w:styleId="NoteBullet">
    <w:name w:val="Note Bullet"/>
    <w:basedOn w:val="Note"/>
    <w:rsid w:val="00477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2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7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2BF"/>
    <w:rPr>
      <w:b/>
      <w:smallCaps/>
    </w:rPr>
  </w:style>
  <w:style w:type="paragraph" w:customStyle="1" w:styleId="TableListNumber">
    <w:name w:val="Table List Number"/>
    <w:basedOn w:val="ListNumber"/>
    <w:rsid w:val="00477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2BF"/>
    <w:pPr>
      <w:numPr>
        <w:numId w:val="9"/>
      </w:numPr>
    </w:pPr>
  </w:style>
  <w:style w:type="paragraph" w:customStyle="1" w:styleId="ListAlpha2">
    <w:name w:val="List Alpha 2"/>
    <w:basedOn w:val="List2"/>
    <w:rsid w:val="004772BF"/>
    <w:pPr>
      <w:numPr>
        <w:numId w:val="8"/>
      </w:numPr>
    </w:pPr>
  </w:style>
  <w:style w:type="paragraph" w:styleId="List2">
    <w:name w:val="List 2"/>
    <w:basedOn w:val="BodyText"/>
    <w:rsid w:val="00477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2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2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72BF"/>
    <w:pPr>
      <w:numPr>
        <w:numId w:val="4"/>
      </w:numPr>
    </w:pPr>
  </w:style>
  <w:style w:type="paragraph" w:styleId="ListContinue2">
    <w:name w:val="List Continue 2"/>
    <w:basedOn w:val="List2"/>
    <w:rsid w:val="004772BF"/>
    <w:pPr>
      <w:ind w:firstLine="0"/>
    </w:pPr>
  </w:style>
  <w:style w:type="paragraph" w:styleId="ListContinue3">
    <w:name w:val="List Continue 3"/>
    <w:basedOn w:val="List3"/>
    <w:rsid w:val="004772BF"/>
    <w:pPr>
      <w:ind w:left="1021" w:firstLine="0"/>
    </w:pPr>
  </w:style>
  <w:style w:type="paragraph" w:styleId="ListContinue4">
    <w:name w:val="List Continue 4"/>
    <w:basedOn w:val="List4"/>
    <w:rsid w:val="004772BF"/>
    <w:pPr>
      <w:ind w:firstLine="0"/>
    </w:pPr>
  </w:style>
  <w:style w:type="paragraph" w:styleId="ListContinue5">
    <w:name w:val="List Continue 5"/>
    <w:basedOn w:val="List5"/>
    <w:rsid w:val="004772BF"/>
    <w:pPr>
      <w:ind w:firstLine="0"/>
    </w:pPr>
  </w:style>
  <w:style w:type="paragraph" w:styleId="ListNumber3">
    <w:name w:val="List Number 3"/>
    <w:basedOn w:val="List3"/>
    <w:rsid w:val="004772BF"/>
    <w:pPr>
      <w:numPr>
        <w:numId w:val="5"/>
      </w:numPr>
    </w:pPr>
  </w:style>
  <w:style w:type="paragraph" w:styleId="ListNumber4">
    <w:name w:val="List Number 4"/>
    <w:basedOn w:val="List4"/>
    <w:rsid w:val="004772BF"/>
    <w:pPr>
      <w:numPr>
        <w:numId w:val="6"/>
      </w:numPr>
    </w:pPr>
  </w:style>
  <w:style w:type="paragraph" w:styleId="ListNumber5">
    <w:name w:val="List Number 5"/>
    <w:basedOn w:val="List5"/>
    <w:rsid w:val="004772BF"/>
    <w:pPr>
      <w:numPr>
        <w:numId w:val="7"/>
      </w:numPr>
    </w:pPr>
  </w:style>
  <w:style w:type="paragraph" w:styleId="BlockText">
    <w:name w:val="Block Text"/>
    <w:basedOn w:val="Normal"/>
    <w:rsid w:val="00477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2BF"/>
    <w:rPr>
      <w:sz w:val="16"/>
      <w:vertAlign w:val="superscript"/>
    </w:rPr>
  </w:style>
  <w:style w:type="character" w:customStyle="1" w:styleId="Symbols">
    <w:name w:val="Symbols"/>
    <w:basedOn w:val="DefaultParagraphFont"/>
    <w:rsid w:val="004772BF"/>
    <w:rPr>
      <w:rFonts w:ascii="Symbol" w:hAnsi="Symbol"/>
    </w:rPr>
  </w:style>
  <w:style w:type="character" w:customStyle="1" w:styleId="MenuOptions">
    <w:name w:val="Menu Options"/>
    <w:basedOn w:val="DefaultParagraphFont"/>
    <w:rsid w:val="00477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2BF"/>
    <w:rPr>
      <w:b/>
    </w:rPr>
  </w:style>
  <w:style w:type="character" w:customStyle="1" w:styleId="Underlined">
    <w:name w:val="Underlined"/>
    <w:basedOn w:val="DefaultParagraphFont"/>
    <w:rsid w:val="004772BF"/>
    <w:rPr>
      <w:u w:val="single"/>
    </w:rPr>
  </w:style>
  <w:style w:type="paragraph" w:customStyle="1" w:styleId="TableBodyTextRight">
    <w:name w:val="Table Body Text Right"/>
    <w:basedOn w:val="TableBodyText"/>
    <w:rsid w:val="00477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2BF"/>
    <w:rPr>
      <w:sz w:val="18"/>
    </w:rPr>
  </w:style>
  <w:style w:type="paragraph" w:customStyle="1" w:styleId="BodySmallRight">
    <w:name w:val="Body Small Right"/>
    <w:basedOn w:val="BodyTextRight"/>
    <w:rsid w:val="004772BF"/>
    <w:rPr>
      <w:sz w:val="18"/>
      <w:szCs w:val="18"/>
    </w:rPr>
  </w:style>
  <w:style w:type="paragraph" w:customStyle="1" w:styleId="MarginEdition">
    <w:name w:val="Margin Edition"/>
    <w:basedOn w:val="MarginNote"/>
    <w:rsid w:val="00477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2BF"/>
    <w:rPr>
      <w:sz w:val="2"/>
      <w:szCs w:val="2"/>
    </w:rPr>
  </w:style>
  <w:style w:type="character" w:customStyle="1" w:styleId="Small">
    <w:name w:val="Small"/>
    <w:basedOn w:val="DefaultParagraphFont"/>
    <w:rsid w:val="004772BF"/>
    <w:rPr>
      <w:sz w:val="16"/>
    </w:rPr>
  </w:style>
  <w:style w:type="paragraph" w:customStyle="1" w:styleId="WideTable">
    <w:name w:val="Wide Table"/>
    <w:basedOn w:val="Normal"/>
    <w:rsid w:val="00477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2BF"/>
  </w:style>
  <w:style w:type="paragraph" w:styleId="Quote">
    <w:name w:val="Quote"/>
    <w:basedOn w:val="Heading1"/>
    <w:link w:val="QuoteChar"/>
    <w:qFormat/>
    <w:rsid w:val="00477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2BF"/>
    <w:pPr>
      <w:pageBreakBefore/>
    </w:pPr>
  </w:style>
  <w:style w:type="paragraph" w:customStyle="1" w:styleId="Border">
    <w:name w:val="Border"/>
    <w:basedOn w:val="Normal"/>
    <w:qFormat/>
    <w:rsid w:val="00477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2BF"/>
    <w:rPr>
      <w:u w:val="single"/>
    </w:rPr>
  </w:style>
  <w:style w:type="character" w:customStyle="1" w:styleId="BoldandItalics">
    <w:name w:val="Bold and Italics"/>
    <w:qFormat/>
    <w:rsid w:val="004772BF"/>
    <w:rPr>
      <w:b/>
      <w:i/>
      <w:u w:val="none"/>
    </w:rPr>
  </w:style>
  <w:style w:type="paragraph" w:styleId="BalloonText">
    <w:name w:val="Balloon Text"/>
    <w:basedOn w:val="Normal"/>
    <w:link w:val="BalloonTextChar"/>
    <w:rsid w:val="00477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2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2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2BF"/>
    <w:pPr>
      <w:spacing w:before="0" w:after="0"/>
    </w:pPr>
  </w:style>
  <w:style w:type="paragraph" w:customStyle="1" w:styleId="BodyTextBold">
    <w:name w:val="Body Text Bold"/>
    <w:basedOn w:val="BodyText"/>
    <w:qFormat/>
    <w:rsid w:val="004772BF"/>
    <w:rPr>
      <w:b/>
    </w:rPr>
  </w:style>
  <w:style w:type="character" w:styleId="Hyperlink">
    <w:name w:val="Hyperlink"/>
    <w:basedOn w:val="DefaultParagraphFont"/>
    <w:uiPriority w:val="99"/>
    <w:unhideWhenUsed/>
    <w:rsid w:val="009D1A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415</Words>
  <Characters>3152</Characters>
  <Application>Microsoft Office Word</Application>
  <DocSecurity>0</DocSecurity>
  <Lines>92</Lines>
  <Paragraphs>75</Paragraphs>
  <ScaleCrop>false</ScaleCrop>
  <Company>Author-it Software Corporation Ltd.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FBPPHM4006 Respond to non-conformance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