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68E" w:rsidP="009556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FBPOPR3018 Identify dietary, cultural and religious considerations for food production</w:t>
      </w:r>
      <w:r>
        <w:fldChar w:fldCharType="end"/>
      </w:r>
    </w:p>
    <w:p w:rsidR="0095568E" w:rsidP="0095568E">
      <w:pPr>
        <w:pStyle w:val="Version"/>
        <w:sectPr w:rsidSect="00E94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47ED" w:rsidP="00E947ED">
      <w:pPr>
        <w:pStyle w:val="SuperHeading"/>
      </w:pPr>
      <w:r w:rsidRPr="00E947ED">
        <w:t>Assessment Requirements for FBPOPR3018 Identify dietary, cultural and religious considerations for food production</w:t>
      </w:r>
    </w:p>
    <w:p w:rsidR="00000000" w:rsidRPr="00E947ED" w:rsidP="00E947ED">
      <w:pPr>
        <w:pStyle w:val="Heading1"/>
      </w:pPr>
      <w:bookmarkStart w:id="1" w:name="O_1184888"/>
      <w:bookmarkEnd w:id="1"/>
      <w:r w:rsidRPr="00E947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4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7ED">
            <w:pPr>
              <w:pStyle w:val="BodyTextBold"/>
              <w:rPr>
                <w:lang w:val="en-NZ"/>
              </w:rPr>
            </w:pPr>
            <w:r w:rsidRPr="00E947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7ED">
            <w:pPr>
              <w:pStyle w:val="BodyTextBold"/>
              <w:rPr>
                <w:lang w:val="en-NZ"/>
              </w:rPr>
            </w:pPr>
            <w:r w:rsidRPr="00E947ED">
              <w:t>Comments</w:t>
            </w:r>
          </w:p>
        </w:tc>
      </w:tr>
      <w:tr w:rsidTr="00E947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47ED">
            <w:pPr>
              <w:pStyle w:val="BodyText"/>
              <w:rPr>
                <w:lang w:val="en-NZ"/>
              </w:rPr>
            </w:pPr>
            <w:r w:rsidRPr="00E947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47ED" w:rsidP="00E947ED">
            <w:pPr>
              <w:pStyle w:val="BodyText"/>
            </w:pPr>
            <w:r w:rsidRPr="00E947ED">
              <w:t>This version released with FBP Food, Beverage and Pharmaceutical Training Package Version 6.0.</w:t>
            </w:r>
          </w:p>
        </w:tc>
      </w:tr>
    </w:tbl>
    <w:p w:rsidR="00000000" w:rsidRPr="00E947ED" w:rsidP="00E947ED">
      <w:pPr>
        <w:pStyle w:val="BodyText"/>
      </w:pPr>
    </w:p>
    <w:p w:rsidR="00000000" w:rsidRPr="00E947ED" w:rsidP="00E947ED">
      <w:pPr>
        <w:pStyle w:val="AllowPageBreak"/>
      </w:pPr>
    </w:p>
    <w:p w:rsidR="00000000" w:rsidRPr="00E947ED" w:rsidP="00E947ED">
      <w:pPr>
        <w:pStyle w:val="Heading1"/>
      </w:pPr>
      <w:bookmarkStart w:id="2" w:name="O_1184889"/>
      <w:bookmarkEnd w:id="2"/>
      <w:r w:rsidRPr="00E947ED">
        <w:t>Performance Evidence</w:t>
      </w:r>
    </w:p>
    <w:p w:rsidR="00000000" w:rsidRPr="00E947ED" w:rsidP="0095568E">
      <w:pPr>
        <w:pStyle w:val="BodyText"/>
      </w:pPr>
      <w:r w:rsidRPr="00E947ED">
        <w:t>An individual demonstrating competency must satisfy all of the elements and performance criteria in this unit.</w:t>
      </w:r>
    </w:p>
    <w:p w:rsidR="00000000" w:rsidRPr="00E947ED" w:rsidP="0095568E">
      <w:pPr>
        <w:pStyle w:val="BodyText"/>
      </w:pPr>
      <w:r w:rsidRPr="00E947ED">
        <w:t>There mu</w:t>
      </w:r>
      <w:r w:rsidRPr="00E947ED">
        <w:t>st be evidence that the individual has analysed the ingredients and processing of food products for five clients, each with different cultural, religious and/or dietary considerations, to assess suitability, including:</w:t>
      </w:r>
    </w:p>
    <w:p w:rsidR="00000000" w:rsidRPr="00E947ED" w:rsidP="00E947ED">
      <w:pPr>
        <w:pStyle w:val="ListBullet"/>
      </w:pPr>
      <w:r w:rsidRPr="00E947ED">
        <w:t>identifying common food-related alle</w:t>
      </w:r>
      <w:r w:rsidRPr="00E947ED">
        <w:t>rgens</w:t>
      </w:r>
    </w:p>
    <w:p w:rsidR="00000000" w:rsidRPr="00E947ED" w:rsidP="00E947ED">
      <w:pPr>
        <w:pStyle w:val="ListBullet"/>
      </w:pPr>
      <w:r w:rsidRPr="00E947ED">
        <w:t>identifying life-threatening food-related allergens</w:t>
      </w:r>
    </w:p>
    <w:p w:rsidR="00000000" w:rsidRPr="00E947ED" w:rsidP="00E947ED">
      <w:pPr>
        <w:pStyle w:val="ListBullet"/>
      </w:pPr>
      <w:r w:rsidRPr="00E947ED">
        <w:t>identifying food not acceptable to customers with different cultural and religious beliefs</w:t>
      </w:r>
    </w:p>
    <w:p w:rsidR="00000000" w:rsidRPr="00E947ED" w:rsidP="00E947ED">
      <w:pPr>
        <w:pStyle w:val="ListBullet"/>
      </w:pPr>
      <w:r w:rsidRPr="00E947ED">
        <w:t>identifying procedures to avoid food contamination, cross-contamination and cross-contact allergens.</w:t>
      </w:r>
    </w:p>
    <w:p w:rsidR="00000000" w:rsidRPr="00E947ED" w:rsidP="00E947ED">
      <w:pPr>
        <w:pStyle w:val="AllowPageBreak"/>
      </w:pPr>
    </w:p>
    <w:p w:rsidR="00000000" w:rsidRPr="00E947ED" w:rsidP="00E947ED">
      <w:pPr>
        <w:pStyle w:val="Heading1"/>
      </w:pPr>
      <w:bookmarkStart w:id="3" w:name="O_1184890"/>
      <w:bookmarkEnd w:id="3"/>
      <w:r w:rsidRPr="00E947ED">
        <w:t>Knowledge Evidence</w:t>
      </w:r>
    </w:p>
    <w:p w:rsidR="00000000" w:rsidRPr="00E947ED" w:rsidP="0095568E">
      <w:pPr>
        <w:pStyle w:val="BodyText"/>
      </w:pPr>
      <w:r w:rsidRPr="00E947ED">
        <w:t>An individual must be able to demonstrate the knowledge required to perform the tasks outlined in the elements and performance criteria of this unit. This includes knowledge of:</w:t>
      </w:r>
    </w:p>
    <w:p w:rsidR="00000000" w:rsidRPr="00E947ED" w:rsidP="00E947ED">
      <w:pPr>
        <w:pStyle w:val="ListBullet"/>
      </w:pPr>
      <w:r w:rsidRPr="00E947ED">
        <w:t>ingredients of available food products t</w:t>
      </w:r>
      <w:r w:rsidRPr="00E947ED">
        <w:t>hat can impact on specific dietary, cultural and religious requirements of customers</w:t>
      </w:r>
    </w:p>
    <w:p w:rsidR="00000000" w:rsidRPr="00E947ED" w:rsidP="00E947ED">
      <w:pPr>
        <w:pStyle w:val="ListBullet"/>
      </w:pPr>
      <w:r w:rsidRPr="00E947ED">
        <w:t>Product Information Forms (PIFs), their layout and content</w:t>
      </w:r>
    </w:p>
    <w:p w:rsidR="00000000" w:rsidRPr="00E947ED" w:rsidP="00E947ED">
      <w:pPr>
        <w:pStyle w:val="ListBullet"/>
      </w:pPr>
      <w:r w:rsidRPr="00E947ED">
        <w:t>food production processes of products that can impact on specific dietary, cultural and religious requirements o</w:t>
      </w:r>
      <w:r w:rsidRPr="00E947ED">
        <w:t>f customers, including:</w:t>
      </w:r>
    </w:p>
    <w:p w:rsidR="00000000" w:rsidRPr="00E947ED" w:rsidP="00E947ED">
      <w:pPr>
        <w:pStyle w:val="ListBullet2"/>
      </w:pPr>
      <w:r w:rsidRPr="00E947ED">
        <w:t>food safety principles and regulations</w:t>
      </w:r>
    </w:p>
    <w:p w:rsidR="00000000" w:rsidRPr="00E947ED" w:rsidP="00E947ED">
      <w:pPr>
        <w:pStyle w:val="ListBullet2"/>
      </w:pPr>
      <w:r w:rsidRPr="00E947ED">
        <w:t>food safety hazards and risks</w:t>
      </w:r>
    </w:p>
    <w:p w:rsidR="00000000" w:rsidRPr="00E947ED" w:rsidP="00E947ED">
      <w:pPr>
        <w:pStyle w:val="ListBullet2"/>
      </w:pPr>
      <w:r w:rsidRPr="00E947ED">
        <w:t>food safety program requirements</w:t>
      </w:r>
    </w:p>
    <w:p w:rsidR="00000000" w:rsidRPr="00E947ED" w:rsidP="00E947ED">
      <w:pPr>
        <w:pStyle w:val="ListBullet2"/>
      </w:pPr>
      <w:r w:rsidRPr="00E947ED">
        <w:t>client conditions and associated needs and requirements</w:t>
      </w:r>
    </w:p>
    <w:p w:rsidR="00000000" w:rsidRPr="00E947ED" w:rsidP="00E947ED">
      <w:pPr>
        <w:pStyle w:val="ListBullet"/>
      </w:pPr>
      <w:r w:rsidRPr="00E947ED">
        <w:t>specific dietary requirements, including:</w:t>
      </w:r>
    </w:p>
    <w:p w:rsidR="00000000" w:rsidRPr="00E947ED" w:rsidP="00E947ED">
      <w:pPr>
        <w:pStyle w:val="ListBullet2"/>
      </w:pPr>
      <w:r w:rsidRPr="00E947ED">
        <w:t>food allergies (peanuts, tree</w:t>
      </w:r>
      <w:r w:rsidRPr="00E947ED">
        <w:t xml:space="preserve"> nuts, milk, eggs, sesame seeds, fish and shellfish, soy, lupin and wheat) </w:t>
      </w:r>
    </w:p>
    <w:p w:rsidR="00000000" w:rsidRPr="00E947ED" w:rsidP="00E947ED">
      <w:pPr>
        <w:pStyle w:val="ListBullet2"/>
      </w:pPr>
      <w:r w:rsidRPr="00E947ED">
        <w:t>swallowing problems requiring food texture modification</w:t>
      </w:r>
    </w:p>
    <w:p w:rsidR="00000000" w:rsidRPr="00E947ED" w:rsidP="00E947ED">
      <w:pPr>
        <w:pStyle w:val="ListBullet2"/>
      </w:pPr>
      <w:r w:rsidRPr="00E947ED">
        <w:t>malnutrition</w:t>
      </w:r>
    </w:p>
    <w:p w:rsidR="00000000" w:rsidRPr="00E947ED" w:rsidP="00E947ED">
      <w:pPr>
        <w:pStyle w:val="ListBullet2"/>
      </w:pPr>
      <w:r w:rsidRPr="00E947ED">
        <w:t>vegetarian</w:t>
      </w:r>
    </w:p>
    <w:p w:rsidR="00000000" w:rsidRPr="00E947ED" w:rsidP="00E947ED">
      <w:pPr>
        <w:pStyle w:val="ListBullet2"/>
      </w:pPr>
      <w:r w:rsidRPr="00E947ED">
        <w:t xml:space="preserve">vegan </w:t>
      </w:r>
    </w:p>
    <w:p w:rsidR="00000000" w:rsidRPr="00E947ED" w:rsidP="00E947ED">
      <w:pPr>
        <w:pStyle w:val="ListBullet2"/>
      </w:pPr>
      <w:r w:rsidRPr="00E947ED">
        <w:t>coeliac</w:t>
      </w:r>
    </w:p>
    <w:p w:rsidR="00000000" w:rsidRPr="00E947ED" w:rsidP="00E947ED">
      <w:pPr>
        <w:pStyle w:val="ListBullet2"/>
      </w:pPr>
      <w:r w:rsidRPr="00E947ED">
        <w:t>diabetes</w:t>
      </w:r>
    </w:p>
    <w:p w:rsidR="00000000" w:rsidRPr="00E947ED" w:rsidP="00E947ED">
      <w:pPr>
        <w:pStyle w:val="ListBullet2"/>
      </w:pPr>
      <w:r w:rsidRPr="00E947ED">
        <w:t>food intolerances (including FODMAP requirements)</w:t>
      </w:r>
    </w:p>
    <w:p w:rsidR="00000000" w:rsidRPr="00E947ED" w:rsidP="00E947ED">
      <w:pPr>
        <w:pStyle w:val="ListBullet"/>
      </w:pPr>
      <w:r w:rsidRPr="00E947ED">
        <w:t>add</w:t>
      </w:r>
      <w:r w:rsidRPr="00E947ED">
        <w:t>itional dietary guidelines for specific populations, including older people and unwell people</w:t>
      </w:r>
    </w:p>
    <w:p w:rsidR="00000000" w:rsidRPr="00E947ED" w:rsidP="00E947ED">
      <w:pPr>
        <w:pStyle w:val="ListBullet"/>
      </w:pPr>
      <w:r w:rsidRPr="00E947ED">
        <w:t>key health and legal consequences of failing to address special food requirements, including:</w:t>
      </w:r>
    </w:p>
    <w:p w:rsidR="00000000" w:rsidRPr="00E947ED" w:rsidP="00E947ED">
      <w:pPr>
        <w:pStyle w:val="ListBullet2"/>
      </w:pPr>
      <w:r w:rsidRPr="00E947ED">
        <w:t>drug-food interactions</w:t>
      </w:r>
    </w:p>
    <w:p w:rsidR="00000000" w:rsidRPr="00E947ED" w:rsidP="00E947ED">
      <w:pPr>
        <w:pStyle w:val="ListBullet2"/>
      </w:pPr>
      <w:r w:rsidRPr="00E947ED">
        <w:t>allergic reactions, including anaphylaxis (s</w:t>
      </w:r>
      <w:r w:rsidRPr="00E947ED">
        <w:t>evere allergic reaction)</w:t>
      </w:r>
    </w:p>
    <w:p w:rsidR="00000000" w:rsidRPr="00E947ED" w:rsidP="00E947ED">
      <w:pPr>
        <w:pStyle w:val="ListBullet2"/>
      </w:pPr>
      <w:r w:rsidRPr="00E947ED">
        <w:t>food sensitivity or intolerance reactions</w:t>
      </w:r>
    </w:p>
    <w:p w:rsidR="00000000" w:rsidRPr="00E947ED" w:rsidP="00E947ED">
      <w:pPr>
        <w:pStyle w:val="ListBullet2"/>
      </w:pPr>
      <w:r w:rsidRPr="00E947ED">
        <w:t>choking</w:t>
      </w:r>
    </w:p>
    <w:p w:rsidR="00000000" w:rsidRPr="00E947ED" w:rsidP="00E947ED">
      <w:pPr>
        <w:pStyle w:val="ListBullet"/>
      </w:pPr>
      <w:r w:rsidRPr="00E947ED">
        <w:t>different religious and cultural requirements that impact on food production processes, including:</w:t>
      </w:r>
    </w:p>
    <w:p w:rsidR="00000000" w:rsidRPr="00E947ED" w:rsidP="00E947ED">
      <w:pPr>
        <w:pStyle w:val="ListBullet2"/>
      </w:pPr>
      <w:r w:rsidRPr="00E947ED">
        <w:t>halal</w:t>
      </w:r>
    </w:p>
    <w:p w:rsidR="00000000" w:rsidRPr="00E947ED" w:rsidP="00E947ED">
      <w:pPr>
        <w:pStyle w:val="ListBullet2"/>
      </w:pPr>
      <w:r w:rsidRPr="00E947ED">
        <w:t>kosher</w:t>
      </w:r>
    </w:p>
    <w:p w:rsidR="00000000" w:rsidRPr="00E947ED" w:rsidP="00E947ED">
      <w:pPr>
        <w:pStyle w:val="ListBullet2"/>
      </w:pPr>
      <w:r w:rsidRPr="00E947ED">
        <w:t xml:space="preserve">Hindu </w:t>
      </w:r>
    </w:p>
    <w:p w:rsidR="00000000" w:rsidRPr="00E947ED" w:rsidP="00E947ED">
      <w:pPr>
        <w:pStyle w:val="ListBullet2"/>
      </w:pPr>
      <w:r w:rsidRPr="00E947ED">
        <w:t xml:space="preserve">Buddhist </w:t>
      </w:r>
    </w:p>
    <w:p w:rsidR="00000000" w:rsidRPr="00E947ED" w:rsidP="00E947ED">
      <w:pPr>
        <w:pStyle w:val="ListBullet2"/>
      </w:pPr>
      <w:r w:rsidRPr="00E947ED">
        <w:t>other specific religious requirements</w:t>
      </w:r>
      <w:r w:rsidRPr="00E947ED">
        <w:t xml:space="preserve"> of clients to the business.</w:t>
      </w:r>
    </w:p>
    <w:p w:rsidR="00000000" w:rsidRPr="00E947ED" w:rsidP="00E947ED">
      <w:pPr>
        <w:pStyle w:val="AllowPageBreak"/>
      </w:pPr>
    </w:p>
    <w:p w:rsidR="00000000" w:rsidRPr="00E947ED" w:rsidP="00E947ED">
      <w:pPr>
        <w:pStyle w:val="Heading1"/>
      </w:pPr>
      <w:bookmarkStart w:id="4" w:name="O_1184891"/>
      <w:bookmarkEnd w:id="4"/>
      <w:r w:rsidRPr="00E947ED">
        <w:t>Assessment Conditions</w:t>
      </w:r>
    </w:p>
    <w:p w:rsidR="00000000" w:rsidRPr="00E947ED" w:rsidP="0095568E">
      <w:pPr>
        <w:pStyle w:val="BodyText"/>
      </w:pPr>
      <w:r w:rsidRPr="00E947ED">
        <w:t>Assessment of the skills in this unit of competency must take place under the following conditions:</w:t>
      </w:r>
    </w:p>
    <w:p w:rsidR="00000000" w:rsidRPr="00E947ED" w:rsidP="00E947ED">
      <w:pPr>
        <w:pStyle w:val="ListBullet"/>
      </w:pPr>
      <w:r w:rsidRPr="00E947ED">
        <w:t>physical conditions:</w:t>
      </w:r>
    </w:p>
    <w:p w:rsidR="00000000" w:rsidRPr="00E947ED" w:rsidP="00E947ED">
      <w:pPr>
        <w:pStyle w:val="ListBullet2"/>
      </w:pPr>
      <w:r w:rsidRPr="00E947ED">
        <w:t>a workplace or an environment that accurately represents workpl</w:t>
      </w:r>
      <w:r w:rsidRPr="00E947ED">
        <w:t>ace conditions</w:t>
      </w:r>
    </w:p>
    <w:p w:rsidR="00000000" w:rsidRPr="00E947ED" w:rsidP="00E947ED">
      <w:pPr>
        <w:pStyle w:val="ListBullet"/>
      </w:pPr>
      <w:r w:rsidRPr="00E947ED">
        <w:t>resources, equipment and materials:</w:t>
      </w:r>
    </w:p>
    <w:p w:rsidR="00000000" w:rsidRPr="00E947ED" w:rsidP="00E947ED">
      <w:pPr>
        <w:pStyle w:val="ListBullet2"/>
      </w:pPr>
      <w:r w:rsidRPr="00E947ED">
        <w:t>food production process</w:t>
      </w:r>
    </w:p>
    <w:p w:rsidR="00000000" w:rsidRPr="00E947ED" w:rsidP="00E947ED">
      <w:pPr>
        <w:pStyle w:val="ListBullet2"/>
      </w:pPr>
      <w:r w:rsidRPr="00E947ED">
        <w:t>food product to analyse</w:t>
      </w:r>
    </w:p>
    <w:p w:rsidR="00000000" w:rsidRPr="00E947ED" w:rsidP="00E947ED">
      <w:pPr>
        <w:pStyle w:val="ListBullet"/>
      </w:pPr>
      <w:r w:rsidRPr="00E947ED">
        <w:t>specifications:</w:t>
      </w:r>
    </w:p>
    <w:p w:rsidR="00000000" w:rsidRPr="00E947ED" w:rsidP="00E947ED">
      <w:pPr>
        <w:pStyle w:val="ListBullet2"/>
      </w:pPr>
      <w:r w:rsidRPr="00E947ED">
        <w:t xml:space="preserve">work procedures, including advice on relevant product requirements, safe work practices, food safety and quality </w:t>
      </w:r>
    </w:p>
    <w:p w:rsidR="00000000" w:rsidRPr="00E947ED" w:rsidP="00E947ED">
      <w:pPr>
        <w:pStyle w:val="ListBullet2"/>
      </w:pPr>
      <w:r w:rsidRPr="00E947ED">
        <w:t>recipes and customer specifications.</w:t>
      </w:r>
    </w:p>
    <w:p w:rsidR="00000000" w:rsidRPr="00E947ED" w:rsidP="0095568E">
      <w:pPr>
        <w:pStyle w:val="BodyText"/>
      </w:pPr>
      <w:r w:rsidRPr="00E947ED">
        <w:t>Assessors of this unit must satisfy the requirements for assessors in applicable vocational education and training legislation, frameworks and/or standards.</w:t>
      </w:r>
    </w:p>
    <w:p w:rsidR="00000000" w:rsidRPr="00E947ED" w:rsidP="00E947ED">
      <w:pPr>
        <w:pStyle w:val="Heading1"/>
      </w:pPr>
      <w:bookmarkStart w:id="5" w:name="O_1184894"/>
      <w:bookmarkEnd w:id="5"/>
      <w:r w:rsidRPr="00E947ED">
        <w:t>Links</w:t>
      </w:r>
    </w:p>
    <w:p w:rsidR="00000000" w:rsidRPr="00E947ED" w:rsidP="0095568E">
      <w:pPr>
        <w:pStyle w:val="BodyText"/>
      </w:pPr>
      <w:r w:rsidRPr="00E947ED">
        <w:t>Companion Volumes, including Implemen</w:t>
      </w:r>
      <w:r w:rsidRPr="00E947ED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C63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47ED" w:rsidP="00E947ED"/>
    <w:sectPr w:rsidSect="00E94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ED" w:rsidRPr="0095568E" w:rsidP="009556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8E" w:rsidP="00E94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68E" w:rsidP="00E94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568E" w:rsidP="00E94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47ED" w:rsidRPr="0095568E" w:rsidP="009556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68E" w:rsidRPr="002D2AF8" w:rsidP="00E94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FBPOPR3018 Identify dietary, cultural and religious considerations for food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95568E" w:rsidP="00E94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D0C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E65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EED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4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4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4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4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4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4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4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4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4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4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47ED"/>
  </w:style>
  <w:style w:type="character" w:customStyle="1" w:styleId="Heading1Char">
    <w:name w:val="Heading 1 Char"/>
    <w:basedOn w:val="DefaultParagraphFont"/>
    <w:link w:val="Heading1"/>
    <w:rsid w:val="00E94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4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4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47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47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4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4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47ED"/>
    <w:rPr>
      <w:b/>
    </w:rPr>
  </w:style>
  <w:style w:type="character" w:customStyle="1" w:styleId="Heading2Char">
    <w:name w:val="Heading 2 Char"/>
    <w:basedOn w:val="DefaultParagraphFont"/>
    <w:link w:val="Heading2"/>
    <w:rsid w:val="00E94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4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4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4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4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4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4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4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4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4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4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4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4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4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4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4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4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4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4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4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47ED"/>
    <w:rPr>
      <w:b/>
      <w:spacing w:val="0"/>
    </w:rPr>
  </w:style>
  <w:style w:type="paragraph" w:customStyle="1" w:styleId="SuperTitle">
    <w:name w:val="SuperTitle"/>
    <w:basedOn w:val="Title"/>
    <w:rsid w:val="00E94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4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4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4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4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4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4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4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4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4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4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47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47ED"/>
    <w:rPr>
      <w:i/>
    </w:rPr>
  </w:style>
  <w:style w:type="paragraph" w:styleId="Caption">
    <w:name w:val="caption"/>
    <w:basedOn w:val="BodyText"/>
    <w:next w:val="Normal"/>
    <w:qFormat/>
    <w:rsid w:val="00E94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4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4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47ED"/>
  </w:style>
  <w:style w:type="paragraph" w:styleId="TableofFigures">
    <w:name w:val="table of figures"/>
    <w:basedOn w:val="Normal"/>
    <w:next w:val="Normal"/>
    <w:semiHidden/>
    <w:rsid w:val="00E94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47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47ED"/>
    <w:rPr>
      <w:rFonts w:ascii="Wingdings" w:hAnsi="Wingdings"/>
    </w:rPr>
  </w:style>
  <w:style w:type="paragraph" w:customStyle="1" w:styleId="TableHeading">
    <w:name w:val="Table Heading"/>
    <w:basedOn w:val="HeadingBase"/>
    <w:rsid w:val="00E94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47ED"/>
    <w:rPr>
      <w:color w:val="0033CC"/>
      <w:u w:val="none"/>
    </w:rPr>
  </w:style>
  <w:style w:type="paragraph" w:customStyle="1" w:styleId="BodyTextRight">
    <w:name w:val="Body Text Right"/>
    <w:basedOn w:val="BodyText"/>
    <w:rsid w:val="00E94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4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47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4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4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4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47ED"/>
    <w:rPr>
      <w:sz w:val="32"/>
    </w:rPr>
  </w:style>
  <w:style w:type="paragraph" w:customStyle="1" w:styleId="HeadingProcedure">
    <w:name w:val="Heading Procedure"/>
    <w:basedOn w:val="HeadingBase"/>
    <w:next w:val="Normal"/>
    <w:rsid w:val="00E94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47ED"/>
    <w:pPr>
      <w:spacing w:before="60" w:after="60"/>
    </w:pPr>
  </w:style>
  <w:style w:type="paragraph" w:styleId="ListContinue">
    <w:name w:val="List Continue"/>
    <w:basedOn w:val="List"/>
    <w:rsid w:val="00E947ED"/>
    <w:pPr>
      <w:ind w:firstLine="0"/>
    </w:pPr>
  </w:style>
  <w:style w:type="paragraph" w:customStyle="1" w:styleId="ListNote">
    <w:name w:val="List Note"/>
    <w:basedOn w:val="List"/>
    <w:rsid w:val="00E94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4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4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47ED"/>
    <w:rPr>
      <w:rFonts w:ascii="Courier New" w:hAnsi="Courier New"/>
    </w:rPr>
  </w:style>
  <w:style w:type="paragraph" w:customStyle="1" w:styleId="NoteBullet">
    <w:name w:val="Note Bullet"/>
    <w:basedOn w:val="Note"/>
    <w:rsid w:val="00E94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4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4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4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47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4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4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47ED"/>
    <w:rPr>
      <w:b/>
      <w:smallCaps/>
    </w:rPr>
  </w:style>
  <w:style w:type="paragraph" w:customStyle="1" w:styleId="TableListNumber">
    <w:name w:val="Table List Number"/>
    <w:basedOn w:val="ListNumber"/>
    <w:rsid w:val="00E94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4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47ED"/>
    <w:pPr>
      <w:numPr>
        <w:numId w:val="9"/>
      </w:numPr>
    </w:pPr>
  </w:style>
  <w:style w:type="paragraph" w:customStyle="1" w:styleId="ListAlpha2">
    <w:name w:val="List Alpha 2"/>
    <w:basedOn w:val="List2"/>
    <w:rsid w:val="00E947ED"/>
    <w:pPr>
      <w:numPr>
        <w:numId w:val="8"/>
      </w:numPr>
    </w:pPr>
  </w:style>
  <w:style w:type="paragraph" w:styleId="List2">
    <w:name w:val="List 2"/>
    <w:basedOn w:val="BodyText"/>
    <w:rsid w:val="00E94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4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4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4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47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47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47ED"/>
    <w:pPr>
      <w:numPr>
        <w:numId w:val="4"/>
      </w:numPr>
    </w:pPr>
  </w:style>
  <w:style w:type="paragraph" w:styleId="ListContinue2">
    <w:name w:val="List Continue 2"/>
    <w:basedOn w:val="List2"/>
    <w:rsid w:val="00E947ED"/>
    <w:pPr>
      <w:ind w:firstLine="0"/>
    </w:pPr>
  </w:style>
  <w:style w:type="paragraph" w:styleId="ListContinue3">
    <w:name w:val="List Continue 3"/>
    <w:basedOn w:val="List3"/>
    <w:rsid w:val="00E947ED"/>
    <w:pPr>
      <w:ind w:left="1021" w:firstLine="0"/>
    </w:pPr>
  </w:style>
  <w:style w:type="paragraph" w:styleId="ListContinue4">
    <w:name w:val="List Continue 4"/>
    <w:basedOn w:val="List4"/>
    <w:rsid w:val="00E947ED"/>
    <w:pPr>
      <w:ind w:firstLine="0"/>
    </w:pPr>
  </w:style>
  <w:style w:type="paragraph" w:styleId="ListContinue5">
    <w:name w:val="List Continue 5"/>
    <w:basedOn w:val="List5"/>
    <w:rsid w:val="00E947ED"/>
    <w:pPr>
      <w:ind w:firstLine="0"/>
    </w:pPr>
  </w:style>
  <w:style w:type="paragraph" w:styleId="ListNumber3">
    <w:name w:val="List Number 3"/>
    <w:basedOn w:val="List3"/>
    <w:rsid w:val="00E947ED"/>
    <w:pPr>
      <w:numPr>
        <w:numId w:val="5"/>
      </w:numPr>
    </w:pPr>
  </w:style>
  <w:style w:type="paragraph" w:styleId="ListNumber4">
    <w:name w:val="List Number 4"/>
    <w:basedOn w:val="List4"/>
    <w:rsid w:val="00E947ED"/>
    <w:pPr>
      <w:numPr>
        <w:numId w:val="6"/>
      </w:numPr>
    </w:pPr>
  </w:style>
  <w:style w:type="paragraph" w:styleId="ListNumber5">
    <w:name w:val="List Number 5"/>
    <w:basedOn w:val="List5"/>
    <w:rsid w:val="00E947ED"/>
    <w:pPr>
      <w:numPr>
        <w:numId w:val="7"/>
      </w:numPr>
    </w:pPr>
  </w:style>
  <w:style w:type="paragraph" w:styleId="BlockText">
    <w:name w:val="Block Text"/>
    <w:basedOn w:val="Normal"/>
    <w:rsid w:val="00E94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4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47ED"/>
    <w:rPr>
      <w:sz w:val="16"/>
      <w:vertAlign w:val="superscript"/>
    </w:rPr>
  </w:style>
  <w:style w:type="character" w:customStyle="1" w:styleId="Symbols">
    <w:name w:val="Symbols"/>
    <w:basedOn w:val="DefaultParagraphFont"/>
    <w:rsid w:val="00E947ED"/>
    <w:rPr>
      <w:rFonts w:ascii="Symbol" w:hAnsi="Symbol"/>
    </w:rPr>
  </w:style>
  <w:style w:type="character" w:customStyle="1" w:styleId="MenuOptions">
    <w:name w:val="Menu Options"/>
    <w:basedOn w:val="DefaultParagraphFont"/>
    <w:rsid w:val="00E94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47ED"/>
    <w:rPr>
      <w:b/>
    </w:rPr>
  </w:style>
  <w:style w:type="character" w:customStyle="1" w:styleId="Underlined">
    <w:name w:val="Underlined"/>
    <w:basedOn w:val="DefaultParagraphFont"/>
    <w:rsid w:val="00E947ED"/>
    <w:rPr>
      <w:u w:val="single"/>
    </w:rPr>
  </w:style>
  <w:style w:type="paragraph" w:customStyle="1" w:styleId="TableBodyTextRight">
    <w:name w:val="Table Body Text Right"/>
    <w:basedOn w:val="TableBodyText"/>
    <w:rsid w:val="00E94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47ED"/>
    <w:rPr>
      <w:sz w:val="18"/>
    </w:rPr>
  </w:style>
  <w:style w:type="paragraph" w:customStyle="1" w:styleId="BodySmallRight">
    <w:name w:val="Body Small Right"/>
    <w:basedOn w:val="BodyTextRight"/>
    <w:rsid w:val="00E947ED"/>
    <w:rPr>
      <w:sz w:val="18"/>
      <w:szCs w:val="18"/>
    </w:rPr>
  </w:style>
  <w:style w:type="paragraph" w:customStyle="1" w:styleId="MarginEdition">
    <w:name w:val="Margin Edition"/>
    <w:basedOn w:val="MarginNote"/>
    <w:rsid w:val="00E94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47ED"/>
    <w:rPr>
      <w:sz w:val="2"/>
      <w:szCs w:val="2"/>
    </w:rPr>
  </w:style>
  <w:style w:type="character" w:customStyle="1" w:styleId="Small">
    <w:name w:val="Small"/>
    <w:basedOn w:val="DefaultParagraphFont"/>
    <w:rsid w:val="00E947ED"/>
    <w:rPr>
      <w:sz w:val="16"/>
    </w:rPr>
  </w:style>
  <w:style w:type="paragraph" w:customStyle="1" w:styleId="WideTable">
    <w:name w:val="Wide Table"/>
    <w:basedOn w:val="Normal"/>
    <w:rsid w:val="00E94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47ED"/>
  </w:style>
  <w:style w:type="paragraph" w:styleId="Quote">
    <w:name w:val="Quote"/>
    <w:basedOn w:val="Heading1"/>
    <w:link w:val="QuoteChar"/>
    <w:qFormat/>
    <w:rsid w:val="00E94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4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47ED"/>
    <w:pPr>
      <w:pageBreakBefore/>
    </w:pPr>
  </w:style>
  <w:style w:type="paragraph" w:customStyle="1" w:styleId="Border">
    <w:name w:val="Border"/>
    <w:basedOn w:val="Normal"/>
    <w:qFormat/>
    <w:rsid w:val="00E94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4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4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4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4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4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4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47ED"/>
    <w:rPr>
      <w:u w:val="single"/>
    </w:rPr>
  </w:style>
  <w:style w:type="character" w:customStyle="1" w:styleId="BoldandItalics">
    <w:name w:val="Bold and Italics"/>
    <w:qFormat/>
    <w:rsid w:val="00E947ED"/>
    <w:rPr>
      <w:b/>
      <w:i/>
      <w:u w:val="none"/>
    </w:rPr>
  </w:style>
  <w:style w:type="paragraph" w:styleId="BalloonText">
    <w:name w:val="Balloon Text"/>
    <w:basedOn w:val="Normal"/>
    <w:link w:val="BalloonTextChar"/>
    <w:rsid w:val="00E94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4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4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4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4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4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47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56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3078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FBPOPR3018 Identify dietary, cultural and religious considerations for food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2022-04-19T18:19:00Z</dcterms:created>
  <dcterms:modified xsi:type="dcterms:W3CDTF">2022-04-19T18:20:00Z</dcterms:modified>
</cp:coreProperties>
</file>