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686F" w:rsidP="00A2686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FBPOPR3016 Operate and monitor a separation process</w:t>
      </w:r>
      <w:r>
        <w:fldChar w:fldCharType="end"/>
      </w:r>
    </w:p>
    <w:p w:rsidR="00A2686F" w:rsidP="00A2686F">
      <w:pPr>
        <w:pStyle w:val="Version"/>
        <w:sectPr w:rsidSect="001640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4074" w:rsidP="00164074">
      <w:pPr>
        <w:pStyle w:val="SuperHeading"/>
      </w:pPr>
      <w:r w:rsidRPr="00164074">
        <w:t>FBPOPR3016 Operate and monitor a separation process</w:t>
      </w:r>
    </w:p>
    <w:p w:rsidR="00000000" w:rsidRPr="00164074" w:rsidP="00164074">
      <w:pPr>
        <w:pStyle w:val="Heading1"/>
      </w:pPr>
      <w:bookmarkStart w:id="1" w:name="O_1184840"/>
      <w:bookmarkEnd w:id="1"/>
      <w:r w:rsidRPr="0016407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640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Bold"/>
              <w:rPr>
                <w:lang w:val="en-NZ"/>
              </w:rPr>
            </w:pPr>
            <w:r w:rsidRPr="0016407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Bold"/>
              <w:rPr>
                <w:lang w:val="en-NZ"/>
              </w:rPr>
            </w:pPr>
            <w:r w:rsidRPr="00164074">
              <w:t>Comments</w:t>
            </w:r>
          </w:p>
        </w:tc>
      </w:tr>
      <w:tr w:rsidTr="001640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"/>
              <w:rPr>
                <w:lang w:val="en-NZ"/>
              </w:rPr>
            </w:pPr>
            <w:r w:rsidRPr="0016407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074" w:rsidP="00164074">
            <w:pPr>
              <w:pStyle w:val="BodyText"/>
            </w:pPr>
            <w:r w:rsidRPr="00164074">
              <w:t>This version released with FBP Food, Beverage and Pharmaceutical Training Package Version 6.0.</w:t>
            </w:r>
          </w:p>
        </w:tc>
      </w:tr>
    </w:tbl>
    <w:p w:rsidR="00000000" w:rsidRPr="00164074" w:rsidP="00164074">
      <w:pPr>
        <w:pStyle w:val="BodyText"/>
      </w:pPr>
    </w:p>
    <w:p w:rsidR="00000000" w:rsidRPr="00164074" w:rsidP="00164074">
      <w:pPr>
        <w:pStyle w:val="AllowPageBreak"/>
      </w:pPr>
    </w:p>
    <w:p w:rsidR="00000000" w:rsidRPr="00164074" w:rsidP="00164074">
      <w:pPr>
        <w:pStyle w:val="Heading1"/>
      </w:pPr>
      <w:bookmarkStart w:id="2" w:name="O_1184841"/>
      <w:bookmarkEnd w:id="2"/>
      <w:r w:rsidRPr="00164074">
        <w:t>Application</w:t>
      </w:r>
    </w:p>
    <w:p w:rsidR="00000000" w:rsidRPr="00164074" w:rsidP="00A2686F">
      <w:pPr>
        <w:pStyle w:val="BodyText"/>
      </w:pPr>
      <w:r w:rsidRPr="00164074">
        <w:t>This unit of competency describes the skills and knowledge required to</w:t>
      </w:r>
      <w:r w:rsidRPr="00164074">
        <w:t xml:space="preserve"> set up, operate, adjust and shut down a separation process.</w:t>
      </w:r>
    </w:p>
    <w:p w:rsidR="00000000" w:rsidRPr="00164074" w:rsidP="00A2686F">
      <w:pPr>
        <w:pStyle w:val="BodyText"/>
      </w:pPr>
      <w:r w:rsidRPr="00164074">
        <w:t xml:space="preserve">This unit applies to individuals who work in a food processing environment. It typically applies to the production worker responsible for applying basic operating principles to the operation and </w:t>
      </w:r>
      <w:r w:rsidRPr="00164074">
        <w:t>monitoring of a separation process and associated equipment.</w:t>
      </w:r>
    </w:p>
    <w:p w:rsidR="00000000" w:rsidRPr="00164074" w:rsidP="00A2686F">
      <w:pPr>
        <w:pStyle w:val="BodyText"/>
      </w:pPr>
      <w:r w:rsidRPr="00164074">
        <w:t>All work must be carried out to comply with workplace procedures according to state/territory health and safety, environmental and food safety regulations, legislation and standards that apply to</w:t>
      </w:r>
      <w:r w:rsidRPr="00164074">
        <w:t xml:space="preserve"> the workplace.</w:t>
      </w:r>
    </w:p>
    <w:p w:rsidR="00000000" w:rsidRPr="00164074" w:rsidP="00A2686F">
      <w:pPr>
        <w:pStyle w:val="BodyText"/>
      </w:pPr>
      <w:r w:rsidRPr="00164074">
        <w:t>No licensing, legislative or certification requirements apply to this unit at the time of publication.</w:t>
      </w:r>
    </w:p>
    <w:p w:rsidR="00000000" w:rsidRPr="00164074" w:rsidP="00164074">
      <w:pPr>
        <w:pStyle w:val="Heading1"/>
      </w:pPr>
      <w:bookmarkStart w:id="3" w:name="O_1184842"/>
      <w:bookmarkEnd w:id="3"/>
      <w:r w:rsidRPr="00164074">
        <w:t>Pre-requisite Unit</w:t>
      </w:r>
    </w:p>
    <w:p w:rsidR="00000000" w:rsidRPr="00164074" w:rsidP="00A2686F">
      <w:pPr>
        <w:pStyle w:val="BodyText"/>
      </w:pPr>
      <w:r w:rsidRPr="00164074">
        <w:t>Nil</w:t>
      </w:r>
    </w:p>
    <w:p w:rsidR="00000000" w:rsidRPr="00164074" w:rsidP="00164074">
      <w:pPr>
        <w:pStyle w:val="Heading1"/>
      </w:pPr>
      <w:bookmarkStart w:id="4" w:name="O_1184844"/>
      <w:bookmarkEnd w:id="4"/>
      <w:r w:rsidRPr="00164074">
        <w:t>Unit Sector</w:t>
      </w:r>
    </w:p>
    <w:p w:rsidR="00000000" w:rsidRPr="00164074" w:rsidP="00A2686F">
      <w:pPr>
        <w:pStyle w:val="BodyText"/>
      </w:pPr>
      <w:r w:rsidRPr="00164074">
        <w:t>Operational (OPR)</w:t>
      </w:r>
    </w:p>
    <w:p w:rsidR="00000000" w:rsidRPr="00164074" w:rsidP="00164074">
      <w:pPr>
        <w:pStyle w:val="Heading1"/>
      </w:pPr>
      <w:bookmarkStart w:id="5" w:name="O_1184845"/>
      <w:bookmarkEnd w:id="5"/>
      <w:r w:rsidRPr="0016407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268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Bold"/>
              <w:rPr>
                <w:lang w:val="en-NZ"/>
              </w:rPr>
            </w:pPr>
            <w:r w:rsidRPr="0016407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Bold"/>
              <w:rPr>
                <w:lang w:val="en-NZ"/>
              </w:rPr>
            </w:pPr>
            <w:r w:rsidRPr="00164074">
              <w:t>Performance Criteria</w:t>
            </w:r>
          </w:p>
        </w:tc>
      </w:tr>
      <w:tr w:rsidTr="00A268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074" w:rsidP="00164074">
            <w:pPr>
              <w:pStyle w:val="BodyText"/>
            </w:pPr>
            <w:r w:rsidRPr="0016407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"/>
              <w:rPr>
                <w:lang w:val="en-NZ"/>
              </w:rPr>
            </w:pPr>
            <w:r w:rsidRPr="0016407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268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"/>
              <w:rPr>
                <w:lang w:val="en-NZ"/>
              </w:rPr>
            </w:pPr>
            <w:r w:rsidRPr="00164074">
              <w:t>1. Prepare for work in 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074" w:rsidP="00164074">
            <w:pPr>
              <w:pStyle w:val="BodyText"/>
            </w:pPr>
            <w:r w:rsidRPr="00164074">
              <w:t>1.1 Confirm m</w:t>
            </w:r>
            <w:r w:rsidRPr="00164074">
              <w:t>aterials are available to meet product specification</w:t>
            </w:r>
          </w:p>
          <w:p w:rsidR="00000000" w:rsidRPr="00164074" w:rsidP="00164074">
            <w:pPr>
              <w:pStyle w:val="BodyText"/>
            </w:pPr>
            <w:r w:rsidRPr="00164074">
              <w:t>1.2 Confirm equipment is clean and ready for operation according to health, safety and food safety requirements</w:t>
            </w:r>
          </w:p>
          <w:p w:rsidR="00000000" w:rsidP="00164074">
            <w:pPr>
              <w:pStyle w:val="BodyText"/>
              <w:rPr>
                <w:lang w:val="en-NZ"/>
              </w:rPr>
            </w:pPr>
            <w:r w:rsidRPr="00164074">
              <w:t>1.3 Wear appropriate personal protective clothing and ensure correct fit</w:t>
            </w:r>
          </w:p>
        </w:tc>
      </w:tr>
      <w:tr w:rsidTr="00A268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"/>
              <w:rPr>
                <w:lang w:val="en-NZ"/>
              </w:rPr>
            </w:pPr>
            <w:r w:rsidRPr="00164074">
              <w:t>2. Prepare the separation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074" w:rsidP="00164074">
            <w:pPr>
              <w:pStyle w:val="BodyText"/>
            </w:pPr>
            <w:r w:rsidRPr="00164074">
              <w:t>2.1 Fit machine components and related attachments and adjust to meet operating requirements</w:t>
            </w:r>
          </w:p>
          <w:p w:rsidR="00000000" w:rsidRPr="00164074" w:rsidP="00164074">
            <w:pPr>
              <w:pStyle w:val="BodyText"/>
            </w:pPr>
            <w:r w:rsidRPr="00164074">
              <w:t>2.2 Enter processing and operating parameters as required to meet safety and production requirements</w:t>
            </w:r>
          </w:p>
          <w:p w:rsidR="00000000" w:rsidP="00164074">
            <w:pPr>
              <w:pStyle w:val="BodyText"/>
              <w:rPr>
                <w:lang w:val="en-NZ"/>
              </w:rPr>
            </w:pPr>
            <w:r w:rsidRPr="00164074">
              <w:t xml:space="preserve">2.3 Carry out </w:t>
            </w:r>
            <w:r w:rsidRPr="00164074">
              <w:t>pre-start checks according to workplace health and safety and operating requirements</w:t>
            </w:r>
          </w:p>
        </w:tc>
      </w:tr>
      <w:tr w:rsidTr="00A268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"/>
              <w:rPr>
                <w:lang w:val="en-NZ"/>
              </w:rPr>
            </w:pPr>
            <w:r w:rsidRPr="00164074">
              <w:t>3. Operate and monitor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074" w:rsidP="00164074">
            <w:pPr>
              <w:pStyle w:val="BodyText"/>
            </w:pPr>
            <w:r w:rsidRPr="00164074">
              <w:t>3.1 Start, operate and monitor equipment to ensure optimal performance</w:t>
            </w:r>
          </w:p>
          <w:p w:rsidR="00000000" w:rsidRPr="00164074" w:rsidP="00164074">
            <w:pPr>
              <w:pStyle w:val="BodyText"/>
            </w:pPr>
            <w:r w:rsidRPr="00164074">
              <w:t>3.2 Monitor the process to confirm that product specifications are</w:t>
            </w:r>
            <w:r w:rsidRPr="00164074">
              <w:t xml:space="preserve"> met</w:t>
            </w:r>
          </w:p>
          <w:p w:rsidR="00000000" w:rsidRPr="00164074" w:rsidP="00164074">
            <w:pPr>
              <w:pStyle w:val="BodyText"/>
            </w:pPr>
            <w:r w:rsidRPr="00164074">
              <w:t>3.3 Identify, rectify and report out-of-specification equipment, product or process outcomes according to workplace requirements</w:t>
            </w:r>
          </w:p>
          <w:p w:rsidR="00000000" w:rsidP="00164074">
            <w:pPr>
              <w:pStyle w:val="BodyText"/>
              <w:rPr>
                <w:lang w:val="en-NZ"/>
              </w:rPr>
            </w:pPr>
            <w:r w:rsidRPr="00164074">
              <w:t>3.4 Follow and apply workplace housekeeping procedures and environmental requirements</w:t>
            </w:r>
          </w:p>
        </w:tc>
      </w:tr>
      <w:tr w:rsidTr="00A2686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"/>
              <w:rPr>
                <w:lang w:val="en-NZ"/>
              </w:rPr>
            </w:pPr>
            <w:r w:rsidRPr="00164074">
              <w:t>4. Shut down the separation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074" w:rsidP="00164074">
            <w:pPr>
              <w:pStyle w:val="BodyText"/>
            </w:pPr>
            <w:r w:rsidRPr="00164074">
              <w:t>4.1 Identify the appropriate shutdown procedure</w:t>
            </w:r>
          </w:p>
          <w:p w:rsidR="00000000" w:rsidRPr="00164074" w:rsidP="00164074">
            <w:pPr>
              <w:pStyle w:val="BodyText"/>
            </w:pPr>
            <w:r w:rsidRPr="00164074">
              <w:t>4.2 Shut down the process according to workplace health and safety and operating requirements</w:t>
            </w:r>
          </w:p>
          <w:p w:rsidR="00000000" w:rsidRPr="00164074" w:rsidP="00164074">
            <w:pPr>
              <w:pStyle w:val="BodyText"/>
            </w:pPr>
            <w:r w:rsidRPr="00164074">
              <w:t>4.3 Identify and report maintenance requirements according to workplace procedures</w:t>
            </w:r>
          </w:p>
          <w:p w:rsidR="00000000" w:rsidRPr="00164074" w:rsidP="00164074">
            <w:pPr>
              <w:pStyle w:val="BodyText"/>
            </w:pPr>
            <w:r w:rsidRPr="00164074">
              <w:t>4.4 Maintain workplace records</w:t>
            </w:r>
            <w:r w:rsidRPr="00164074">
              <w:t xml:space="preserve"> according to workplace procedures</w:t>
            </w:r>
          </w:p>
        </w:tc>
      </w:tr>
    </w:tbl>
    <w:p w:rsidR="00000000" w:rsidRPr="00164074" w:rsidP="00164074">
      <w:pPr>
        <w:pStyle w:val="BodyText"/>
      </w:pPr>
    </w:p>
    <w:p w:rsidR="00000000" w:rsidRPr="00164074" w:rsidP="00164074">
      <w:pPr>
        <w:pStyle w:val="AllowPageBreak"/>
      </w:pPr>
    </w:p>
    <w:p w:rsidR="00000000" w:rsidRPr="00164074" w:rsidP="00164074">
      <w:pPr>
        <w:pStyle w:val="Heading1"/>
      </w:pPr>
      <w:bookmarkStart w:id="6" w:name="O_1184846"/>
      <w:bookmarkEnd w:id="6"/>
      <w:r w:rsidRPr="00164074">
        <w:t>Foundation Skills</w:t>
      </w:r>
    </w:p>
    <w:p w:rsidR="00000000" w:rsidRPr="00A2686F" w:rsidP="00A2686F">
      <w:pPr>
        <w:pStyle w:val="BodyText"/>
        <w:rPr>
          <w:i/>
        </w:rPr>
      </w:pPr>
      <w:r w:rsidRPr="00A2686F">
        <w:rPr>
          <w:rStyle w:val="Emphasis"/>
        </w:rPr>
        <w:t xml:space="preserve">This section describes those language, literacy, numeracy and employment skills that are essential for performance in this unit of competency but are not explicit in the performance </w:t>
      </w:r>
      <w:r w:rsidRPr="00A2686F">
        <w:rPr>
          <w:rStyle w:val="Emphasis"/>
        </w:rPr>
        <w:t>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640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Bold"/>
              <w:rPr>
                <w:lang w:val="en-NZ"/>
              </w:rPr>
            </w:pPr>
            <w:r w:rsidRPr="0016407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Bold"/>
              <w:rPr>
                <w:lang w:val="en-NZ"/>
              </w:rPr>
            </w:pPr>
            <w:r w:rsidRPr="00164074">
              <w:t>Description</w:t>
            </w:r>
          </w:p>
        </w:tc>
      </w:tr>
      <w:tr w:rsidTr="001640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"/>
              <w:rPr>
                <w:lang w:val="en-NZ"/>
              </w:rPr>
            </w:pPr>
            <w:r w:rsidRPr="0016407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074" w:rsidP="00164074">
            <w:pPr>
              <w:pStyle w:val="ListBullet"/>
            </w:pPr>
            <w:r w:rsidRPr="00164074">
              <w:t>Interpret workplace and standard operating procedures relevant to work task</w:t>
            </w:r>
          </w:p>
          <w:p w:rsidR="00000000" w:rsidP="00164074">
            <w:pPr>
              <w:pStyle w:val="ListBullet"/>
              <w:rPr>
                <w:lang w:val="en-NZ"/>
              </w:rPr>
            </w:pPr>
            <w:r w:rsidRPr="00164074">
              <w:t>Interpret production requirements</w:t>
            </w:r>
          </w:p>
        </w:tc>
      </w:tr>
      <w:tr w:rsidTr="001640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"/>
              <w:rPr>
                <w:lang w:val="en-NZ"/>
              </w:rPr>
            </w:pPr>
            <w:r w:rsidRPr="0016407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ListBullet"/>
              <w:rPr>
                <w:lang w:val="en-NZ"/>
              </w:rPr>
            </w:pPr>
            <w:r w:rsidRPr="00164074">
              <w:t>Record processing data using digital and/or paper-based formats</w:t>
            </w:r>
          </w:p>
        </w:tc>
      </w:tr>
      <w:tr w:rsidTr="001640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"/>
              <w:rPr>
                <w:lang w:val="en-NZ"/>
              </w:rPr>
            </w:pPr>
            <w:r w:rsidRPr="0016407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074" w:rsidP="00164074">
            <w:pPr>
              <w:pStyle w:val="ListBullet"/>
            </w:pPr>
            <w:r w:rsidRPr="00164074">
              <w:t xml:space="preserve">Ask questions to clarify understanding or seek further information </w:t>
            </w:r>
          </w:p>
          <w:p w:rsidR="00000000" w:rsidP="00164074">
            <w:pPr>
              <w:pStyle w:val="ListBullet"/>
              <w:rPr>
                <w:lang w:val="en-NZ"/>
              </w:rPr>
            </w:pPr>
            <w:r w:rsidRPr="00164074">
              <w:t>Communicate and report operational and safety information to relevant personnel</w:t>
            </w:r>
          </w:p>
        </w:tc>
      </w:tr>
      <w:tr w:rsidTr="001640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"/>
              <w:rPr>
                <w:lang w:val="en-NZ"/>
              </w:rPr>
            </w:pPr>
            <w:r w:rsidRPr="00164074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074" w:rsidP="00164074">
            <w:pPr>
              <w:pStyle w:val="ListBullet"/>
            </w:pPr>
            <w:r w:rsidRPr="00164074">
              <w:t>Monitor and interpret production and process control indicators and data</w:t>
            </w:r>
          </w:p>
          <w:p w:rsidR="00000000" w:rsidRPr="00164074" w:rsidP="00164074">
            <w:pPr>
              <w:pStyle w:val="ListBullet"/>
            </w:pPr>
            <w:r w:rsidRPr="00164074">
              <w:t>Read and interpret gauge</w:t>
            </w:r>
            <w:r w:rsidRPr="00164074">
              <w:t>s and scales for temperature (</w:t>
            </w:r>
            <w:r w:rsidRPr="00164074">
              <w:rPr>
                <w:rStyle w:val="Symbols"/>
              </w:rPr>
              <w:t></w:t>
            </w:r>
            <w:r w:rsidRPr="00164074">
              <w:t>C), speed and flow rates</w:t>
            </w:r>
          </w:p>
        </w:tc>
      </w:tr>
    </w:tbl>
    <w:p w:rsidR="00000000" w:rsidRPr="00164074" w:rsidP="00164074">
      <w:pPr>
        <w:pStyle w:val="BodyText"/>
      </w:pPr>
    </w:p>
    <w:p w:rsidR="00000000" w:rsidRPr="00164074" w:rsidP="00164074">
      <w:pPr>
        <w:pStyle w:val="AllowPageBreak"/>
      </w:pPr>
    </w:p>
    <w:p w:rsidR="00000000" w:rsidRPr="00164074" w:rsidP="00164074">
      <w:pPr>
        <w:pStyle w:val="Heading1"/>
      </w:pPr>
      <w:bookmarkStart w:id="7" w:name="O_1184848"/>
      <w:bookmarkEnd w:id="7"/>
      <w:r w:rsidRPr="0016407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640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Bold"/>
              <w:rPr>
                <w:lang w:val="en-NZ"/>
              </w:rPr>
            </w:pPr>
            <w:r w:rsidRPr="0016407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Bold"/>
              <w:rPr>
                <w:lang w:val="en-NZ"/>
              </w:rPr>
            </w:pPr>
            <w:r w:rsidRPr="0016407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Bold"/>
              <w:rPr>
                <w:lang w:val="en-NZ"/>
              </w:rPr>
            </w:pPr>
            <w:r w:rsidRPr="0016407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Bold"/>
              <w:rPr>
                <w:lang w:val="en-NZ"/>
              </w:rPr>
            </w:pPr>
            <w:r w:rsidRPr="00164074">
              <w:t>Equivalence status</w:t>
            </w:r>
          </w:p>
        </w:tc>
      </w:tr>
      <w:tr w:rsidTr="0016407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"/>
              <w:rPr>
                <w:lang w:val="en-NZ"/>
              </w:rPr>
            </w:pPr>
            <w:r w:rsidRPr="00164074">
              <w:t>FBPOPR3016 Operate and monitor a separation process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4074">
            <w:pPr>
              <w:pStyle w:val="BodyText"/>
              <w:rPr>
                <w:lang w:val="en-NZ"/>
              </w:rPr>
            </w:pPr>
            <w:r w:rsidRPr="00164074">
              <w:t>FBPOPR2050 Operate a separation process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074" w:rsidP="00164074">
            <w:pPr>
              <w:pStyle w:val="BodyText"/>
            </w:pPr>
            <w:r w:rsidRPr="00164074">
              <w:t>Unit code and title updated to match complexity of task</w:t>
            </w:r>
          </w:p>
          <w:p w:rsidR="00000000" w:rsidRPr="00164074" w:rsidP="00164074">
            <w:pPr>
              <w:pStyle w:val="BodyText"/>
            </w:pPr>
            <w:r w:rsidRPr="00164074">
              <w:t>Minor changes to Performance Criteria to clarify task</w:t>
            </w:r>
          </w:p>
          <w:p w:rsidR="00000000" w:rsidRPr="00164074" w:rsidP="00164074">
            <w:pPr>
              <w:pStyle w:val="BodyText"/>
            </w:pPr>
            <w:r w:rsidRPr="00164074">
              <w:t>Foundation Skills refined</w:t>
            </w:r>
          </w:p>
          <w:p w:rsidR="00000000" w:rsidRPr="00164074" w:rsidP="00164074">
            <w:pPr>
              <w:pStyle w:val="BodyText"/>
            </w:pPr>
            <w:r w:rsidRPr="00164074">
              <w:t>Performance Evidence clarified</w:t>
            </w:r>
          </w:p>
          <w:p w:rsidR="00000000" w:rsidP="00164074">
            <w:pPr>
              <w:pStyle w:val="BodyText"/>
              <w:rPr>
                <w:lang w:val="en-NZ"/>
              </w:rPr>
            </w:pPr>
            <w:r w:rsidRPr="00164074">
              <w:t>Minor changes to Knowledge Evidence and Assessmen</w:t>
            </w:r>
            <w:r w:rsidRPr="00164074">
              <w:t xml:space="preserve">t Conditions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4074" w:rsidP="00164074">
            <w:pPr>
              <w:pStyle w:val="BodyText"/>
            </w:pPr>
            <w:r w:rsidRPr="00164074">
              <w:t xml:space="preserve">Equivalent </w:t>
            </w:r>
          </w:p>
        </w:tc>
      </w:tr>
    </w:tbl>
    <w:p w:rsidR="00000000" w:rsidRPr="00164074" w:rsidP="00164074">
      <w:pPr>
        <w:pStyle w:val="BodyText"/>
      </w:pPr>
    </w:p>
    <w:p w:rsidR="00000000" w:rsidRPr="00164074" w:rsidP="00164074">
      <w:pPr>
        <w:pStyle w:val="AllowPageBreak"/>
      </w:pPr>
    </w:p>
    <w:p w:rsidR="00000000" w:rsidRPr="00164074" w:rsidP="00164074">
      <w:pPr>
        <w:pStyle w:val="Heading1"/>
      </w:pPr>
      <w:bookmarkStart w:id="8" w:name="O_1184855"/>
      <w:bookmarkEnd w:id="8"/>
      <w:r w:rsidRPr="00164074">
        <w:t>Links</w:t>
      </w:r>
    </w:p>
    <w:p w:rsidR="00000000" w:rsidRPr="00164074" w:rsidP="00A2686F">
      <w:pPr>
        <w:pStyle w:val="BodyText"/>
      </w:pPr>
      <w:r w:rsidRPr="0016407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91034F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164074" w:rsidP="00164074"/>
    <w:sectPr w:rsidSect="001640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0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074" w:rsidRPr="00A2686F" w:rsidP="00A2686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0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86F" w:rsidP="001640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686F" w:rsidP="001640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2686F" w:rsidP="001640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0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86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4074" w:rsidRPr="00A2686F" w:rsidP="00A2686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40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686F" w:rsidRPr="002D2AF8" w:rsidP="001640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FBPOPR3016 Operate and monitor a separation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January 2023</w:t>
    </w:r>
    <w:r>
      <w:fldChar w:fldCharType="end"/>
    </w:r>
  </w:p>
  <w:p w:rsidR="00A2686F" w:rsidP="001640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35A891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4A87B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40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40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40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40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40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40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40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40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40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40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40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4074"/>
  </w:style>
  <w:style w:type="character" w:customStyle="1" w:styleId="Heading1Char">
    <w:name w:val="Heading 1 Char"/>
    <w:basedOn w:val="DefaultParagraphFont"/>
    <w:link w:val="Heading1"/>
    <w:rsid w:val="001640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40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407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64074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164074"/>
    <w:rPr>
      <w:i/>
    </w:rPr>
  </w:style>
  <w:style w:type="paragraph" w:customStyle="1" w:styleId="SuperHeading">
    <w:name w:val="SuperHeading"/>
    <w:basedOn w:val="Normal"/>
    <w:rsid w:val="001640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40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ymbols">
    <w:name w:val="Symbols"/>
    <w:basedOn w:val="DefaultParagraphFont"/>
    <w:rsid w:val="00164074"/>
    <w:rPr>
      <w:rFonts w:ascii="Symbol" w:hAnsi="Symbol"/>
    </w:rPr>
  </w:style>
  <w:style w:type="paragraph" w:customStyle="1" w:styleId="BodyTextBold">
    <w:name w:val="Body Text Bold"/>
    <w:basedOn w:val="BodyText"/>
    <w:qFormat/>
    <w:rsid w:val="00164074"/>
    <w:rPr>
      <w:b/>
    </w:rPr>
  </w:style>
  <w:style w:type="character" w:customStyle="1" w:styleId="Heading2Char">
    <w:name w:val="Heading 2 Char"/>
    <w:basedOn w:val="DefaultParagraphFont"/>
    <w:link w:val="Heading2"/>
    <w:rsid w:val="001640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40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40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4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40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4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40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40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40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40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40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40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40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40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40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40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40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40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407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640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64074"/>
    <w:rPr>
      <w:b/>
      <w:spacing w:val="0"/>
    </w:rPr>
  </w:style>
  <w:style w:type="paragraph" w:customStyle="1" w:styleId="SuperTitle">
    <w:name w:val="SuperTitle"/>
    <w:basedOn w:val="Title"/>
    <w:rsid w:val="001640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40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40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407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40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40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40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40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40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40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40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40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40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40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40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40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4074"/>
  </w:style>
  <w:style w:type="paragraph" w:styleId="TableofFigures">
    <w:name w:val="table of figures"/>
    <w:basedOn w:val="Normal"/>
    <w:next w:val="Normal"/>
    <w:semiHidden/>
    <w:rsid w:val="001640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407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64074"/>
    <w:rPr>
      <w:rFonts w:ascii="Wingdings" w:hAnsi="Wingdings"/>
    </w:rPr>
  </w:style>
  <w:style w:type="paragraph" w:customStyle="1" w:styleId="TableHeading">
    <w:name w:val="Table Heading"/>
    <w:basedOn w:val="HeadingBase"/>
    <w:rsid w:val="001640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4074"/>
    <w:rPr>
      <w:color w:val="0033CC"/>
      <w:u w:val="none"/>
    </w:rPr>
  </w:style>
  <w:style w:type="paragraph" w:customStyle="1" w:styleId="BodyTextRight">
    <w:name w:val="Body Text Right"/>
    <w:basedOn w:val="BodyText"/>
    <w:rsid w:val="001640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40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407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40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40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40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4074"/>
    <w:rPr>
      <w:sz w:val="32"/>
    </w:rPr>
  </w:style>
  <w:style w:type="paragraph" w:customStyle="1" w:styleId="HeadingProcedure">
    <w:name w:val="Heading Procedure"/>
    <w:basedOn w:val="HeadingBase"/>
    <w:next w:val="Normal"/>
    <w:rsid w:val="001640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4074"/>
    <w:pPr>
      <w:spacing w:before="60" w:after="60"/>
    </w:pPr>
  </w:style>
  <w:style w:type="paragraph" w:styleId="ListContinue">
    <w:name w:val="List Continue"/>
    <w:basedOn w:val="List"/>
    <w:rsid w:val="00164074"/>
    <w:pPr>
      <w:ind w:firstLine="0"/>
    </w:pPr>
  </w:style>
  <w:style w:type="paragraph" w:customStyle="1" w:styleId="ListNote">
    <w:name w:val="List Note"/>
    <w:basedOn w:val="List"/>
    <w:rsid w:val="001640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40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40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4074"/>
    <w:rPr>
      <w:rFonts w:ascii="Courier New" w:hAnsi="Courier New"/>
    </w:rPr>
  </w:style>
  <w:style w:type="paragraph" w:customStyle="1" w:styleId="NoteBullet">
    <w:name w:val="Note Bullet"/>
    <w:basedOn w:val="Note"/>
    <w:rsid w:val="001640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40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40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40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407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640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40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4074"/>
    <w:rPr>
      <w:b/>
      <w:smallCaps/>
    </w:rPr>
  </w:style>
  <w:style w:type="paragraph" w:customStyle="1" w:styleId="TableListNumber">
    <w:name w:val="Table List Number"/>
    <w:basedOn w:val="ListNumber"/>
    <w:rsid w:val="001640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40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4074"/>
    <w:pPr>
      <w:numPr>
        <w:numId w:val="8"/>
      </w:numPr>
    </w:pPr>
  </w:style>
  <w:style w:type="paragraph" w:customStyle="1" w:styleId="ListAlpha2">
    <w:name w:val="List Alpha 2"/>
    <w:basedOn w:val="List2"/>
    <w:rsid w:val="00164074"/>
    <w:pPr>
      <w:numPr>
        <w:numId w:val="7"/>
      </w:numPr>
    </w:pPr>
  </w:style>
  <w:style w:type="paragraph" w:styleId="List2">
    <w:name w:val="List 2"/>
    <w:basedOn w:val="BodyText"/>
    <w:rsid w:val="001640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40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40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40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407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407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64074"/>
    <w:pPr>
      <w:numPr>
        <w:numId w:val="3"/>
      </w:numPr>
    </w:pPr>
  </w:style>
  <w:style w:type="paragraph" w:styleId="ListContinue2">
    <w:name w:val="List Continue 2"/>
    <w:basedOn w:val="List2"/>
    <w:rsid w:val="00164074"/>
    <w:pPr>
      <w:ind w:firstLine="0"/>
    </w:pPr>
  </w:style>
  <w:style w:type="paragraph" w:styleId="ListContinue3">
    <w:name w:val="List Continue 3"/>
    <w:basedOn w:val="List3"/>
    <w:rsid w:val="00164074"/>
    <w:pPr>
      <w:ind w:left="1021" w:firstLine="0"/>
    </w:pPr>
  </w:style>
  <w:style w:type="paragraph" w:styleId="ListContinue4">
    <w:name w:val="List Continue 4"/>
    <w:basedOn w:val="List4"/>
    <w:rsid w:val="00164074"/>
    <w:pPr>
      <w:ind w:firstLine="0"/>
    </w:pPr>
  </w:style>
  <w:style w:type="paragraph" w:styleId="ListContinue5">
    <w:name w:val="List Continue 5"/>
    <w:basedOn w:val="List5"/>
    <w:rsid w:val="00164074"/>
    <w:pPr>
      <w:ind w:firstLine="0"/>
    </w:pPr>
  </w:style>
  <w:style w:type="paragraph" w:styleId="ListNumber3">
    <w:name w:val="List Number 3"/>
    <w:basedOn w:val="List3"/>
    <w:rsid w:val="00164074"/>
    <w:pPr>
      <w:numPr>
        <w:numId w:val="4"/>
      </w:numPr>
    </w:pPr>
  </w:style>
  <w:style w:type="paragraph" w:styleId="ListNumber4">
    <w:name w:val="List Number 4"/>
    <w:basedOn w:val="List4"/>
    <w:rsid w:val="00164074"/>
    <w:pPr>
      <w:numPr>
        <w:numId w:val="5"/>
      </w:numPr>
    </w:pPr>
  </w:style>
  <w:style w:type="paragraph" w:styleId="ListNumber5">
    <w:name w:val="List Number 5"/>
    <w:basedOn w:val="List5"/>
    <w:rsid w:val="00164074"/>
    <w:pPr>
      <w:numPr>
        <w:numId w:val="6"/>
      </w:numPr>
    </w:pPr>
  </w:style>
  <w:style w:type="paragraph" w:styleId="BlockText">
    <w:name w:val="Block Text"/>
    <w:basedOn w:val="Normal"/>
    <w:rsid w:val="001640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40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4074"/>
    <w:rPr>
      <w:sz w:val="16"/>
      <w:vertAlign w:val="superscript"/>
    </w:rPr>
  </w:style>
  <w:style w:type="character" w:customStyle="1" w:styleId="MenuOptions">
    <w:name w:val="Menu Options"/>
    <w:basedOn w:val="DefaultParagraphFont"/>
    <w:rsid w:val="001640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4074"/>
    <w:rPr>
      <w:b/>
    </w:rPr>
  </w:style>
  <w:style w:type="character" w:customStyle="1" w:styleId="Underlined">
    <w:name w:val="Underlined"/>
    <w:basedOn w:val="DefaultParagraphFont"/>
    <w:rsid w:val="00164074"/>
    <w:rPr>
      <w:u w:val="single"/>
    </w:rPr>
  </w:style>
  <w:style w:type="paragraph" w:customStyle="1" w:styleId="TableBodyTextRight">
    <w:name w:val="Table Body Text Right"/>
    <w:basedOn w:val="TableBodyText"/>
    <w:rsid w:val="001640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4074"/>
    <w:rPr>
      <w:sz w:val="18"/>
    </w:rPr>
  </w:style>
  <w:style w:type="paragraph" w:customStyle="1" w:styleId="BodySmallRight">
    <w:name w:val="Body Small Right"/>
    <w:basedOn w:val="BodyTextRight"/>
    <w:rsid w:val="00164074"/>
    <w:rPr>
      <w:sz w:val="18"/>
      <w:szCs w:val="18"/>
    </w:rPr>
  </w:style>
  <w:style w:type="paragraph" w:customStyle="1" w:styleId="MarginEdition">
    <w:name w:val="Margin Edition"/>
    <w:basedOn w:val="MarginNote"/>
    <w:rsid w:val="001640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4074"/>
    <w:rPr>
      <w:sz w:val="2"/>
      <w:szCs w:val="2"/>
    </w:rPr>
  </w:style>
  <w:style w:type="character" w:customStyle="1" w:styleId="Small">
    <w:name w:val="Small"/>
    <w:basedOn w:val="DefaultParagraphFont"/>
    <w:rsid w:val="00164074"/>
    <w:rPr>
      <w:sz w:val="16"/>
    </w:rPr>
  </w:style>
  <w:style w:type="paragraph" w:customStyle="1" w:styleId="WideTable">
    <w:name w:val="Wide Table"/>
    <w:basedOn w:val="Normal"/>
    <w:rsid w:val="001640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4074"/>
  </w:style>
  <w:style w:type="paragraph" w:styleId="Quote">
    <w:name w:val="Quote"/>
    <w:basedOn w:val="Heading1"/>
    <w:link w:val="QuoteChar"/>
    <w:qFormat/>
    <w:rsid w:val="001640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40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4074"/>
    <w:pPr>
      <w:pageBreakBefore/>
    </w:pPr>
  </w:style>
  <w:style w:type="paragraph" w:customStyle="1" w:styleId="Border">
    <w:name w:val="Border"/>
    <w:basedOn w:val="Normal"/>
    <w:qFormat/>
    <w:rsid w:val="001640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40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40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40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40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40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40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40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40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4074"/>
    <w:rPr>
      <w:u w:val="single"/>
    </w:rPr>
  </w:style>
  <w:style w:type="character" w:customStyle="1" w:styleId="BoldandItalics">
    <w:name w:val="Bold and Italics"/>
    <w:qFormat/>
    <w:rsid w:val="00164074"/>
    <w:rPr>
      <w:b/>
      <w:i/>
      <w:u w:val="none"/>
    </w:rPr>
  </w:style>
  <w:style w:type="paragraph" w:styleId="BalloonText">
    <w:name w:val="Balloon Text"/>
    <w:basedOn w:val="Normal"/>
    <w:link w:val="BalloonTextChar"/>
    <w:rsid w:val="001640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40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40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40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40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40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407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2686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554</Words>
  <Characters>3580</Characters>
  <Application>Microsoft Office Word</Application>
  <DocSecurity>0</DocSecurity>
  <Lines>132</Lines>
  <Paragraphs>84</Paragraphs>
  <ScaleCrop>false</ScaleCrop>
  <Company>Author-it Software Corporation Ltd.</Company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FBPOPR3016 Operate and monitor a separation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2023-01-25T14:55:00Z</dcterms:created>
  <dcterms:modified xsi:type="dcterms:W3CDTF">2023-01-25T14:55:00Z</dcterms:modified>
</cp:coreProperties>
</file>