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486" w:rsidP="00112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FBPOPR3015 Pre-process raw materials</w:t>
      </w:r>
      <w:r>
        <w:fldChar w:fldCharType="end"/>
      </w:r>
    </w:p>
    <w:p w:rsidR="00112486" w:rsidP="00112486">
      <w:pPr>
        <w:pStyle w:val="Version"/>
        <w:sectPr w:rsidSect="00351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DCC" w:rsidP="00351DCC">
      <w:pPr>
        <w:pStyle w:val="SuperHeading"/>
      </w:pPr>
      <w:r w:rsidRPr="00351DCC">
        <w:t>FBPOPR3015 Pre-process raw materials</w:t>
      </w:r>
    </w:p>
    <w:p w:rsidR="00000000" w:rsidRPr="00351DCC" w:rsidP="00351DCC">
      <w:pPr>
        <w:pStyle w:val="Heading1"/>
      </w:pPr>
      <w:bookmarkStart w:id="1" w:name="O_1184821"/>
      <w:bookmarkEnd w:id="1"/>
      <w:r w:rsidRPr="00351D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Comments</w:t>
            </w:r>
          </w:p>
        </w:tc>
      </w:tr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This version released with FBP Food, Beverage and Pharmaceutical Training Package Version 6.0.</w:t>
            </w:r>
          </w:p>
        </w:tc>
      </w:tr>
    </w:tbl>
    <w:p w:rsidR="00000000" w:rsidRPr="00351DCC" w:rsidP="00351DCC">
      <w:pPr>
        <w:pStyle w:val="BodyText"/>
      </w:pPr>
    </w:p>
    <w:p w:rsidR="00000000" w:rsidRPr="00351DCC" w:rsidP="00351DCC">
      <w:pPr>
        <w:pStyle w:val="AllowPageBreak"/>
      </w:pPr>
    </w:p>
    <w:p w:rsidR="00000000" w:rsidRPr="00351DCC" w:rsidP="00351DCC">
      <w:pPr>
        <w:pStyle w:val="Heading1"/>
      </w:pPr>
      <w:bookmarkStart w:id="2" w:name="O_1184822"/>
      <w:bookmarkEnd w:id="2"/>
      <w:r w:rsidRPr="00351DCC">
        <w:t>Application</w:t>
      </w:r>
    </w:p>
    <w:p w:rsidR="00000000" w:rsidRPr="00351DCC" w:rsidP="00112486">
      <w:pPr>
        <w:pStyle w:val="BodyText"/>
      </w:pPr>
      <w:r w:rsidRPr="00351DCC">
        <w:t xml:space="preserve">This unit of competency describes the skills and knowledge required to set up, </w:t>
      </w:r>
      <w:r w:rsidRPr="00351DCC">
        <w:t>operate, monitor, adjust and shut down machinery used for the preparation of raw materials that may be used in human food or animal feed, including pulses and/or animal products.</w:t>
      </w:r>
    </w:p>
    <w:p w:rsidR="00000000" w:rsidRPr="00351DCC" w:rsidP="00112486">
      <w:pPr>
        <w:pStyle w:val="BodyText"/>
      </w:pPr>
      <w:r w:rsidRPr="00351DCC">
        <w:t>This unit applies to individuals who work in a food or feed processing enviro</w:t>
      </w:r>
      <w:r w:rsidRPr="00351DCC">
        <w:t>nment. It typically applies to the production worker responsible for applying operating principles to the operation and monitoring of machinery to prepare raw materials.</w:t>
      </w:r>
    </w:p>
    <w:p w:rsidR="00000000" w:rsidRPr="00351DCC" w:rsidP="00112486">
      <w:pPr>
        <w:pStyle w:val="BodyText"/>
      </w:pPr>
      <w:r w:rsidRPr="00351DCC">
        <w:t>All work must be carried out to comply with workplace procedures according to state/te</w:t>
      </w:r>
      <w:r w:rsidRPr="00351DCC">
        <w:t>rritory health and safety, environmental and food safety regulations, legislation and standards that apply to the workplace.</w:t>
      </w:r>
    </w:p>
    <w:p w:rsidR="00000000" w:rsidRPr="00351DCC" w:rsidP="00112486">
      <w:pPr>
        <w:pStyle w:val="BodyText"/>
      </w:pPr>
      <w:r w:rsidRPr="00351DCC">
        <w:t>No licensing, legislative or certification requirements apply to this unit at the time of publication.</w:t>
      </w:r>
    </w:p>
    <w:p w:rsidR="00000000" w:rsidRPr="00351DCC" w:rsidP="00351DCC">
      <w:pPr>
        <w:pStyle w:val="Heading1"/>
      </w:pPr>
      <w:bookmarkStart w:id="3" w:name="O_1184823"/>
      <w:bookmarkEnd w:id="3"/>
      <w:r w:rsidRPr="00351DCC">
        <w:t>Pre-requi</w:t>
      </w:r>
      <w:r w:rsidRPr="00351DCC">
        <w:t>site Unit</w:t>
      </w:r>
    </w:p>
    <w:p w:rsidR="00000000" w:rsidRPr="00351DCC" w:rsidP="00112486">
      <w:pPr>
        <w:pStyle w:val="BodyText"/>
      </w:pPr>
      <w:r w:rsidRPr="00351DCC">
        <w:t>Nil</w:t>
      </w:r>
    </w:p>
    <w:p w:rsidR="00000000" w:rsidRPr="00351DCC" w:rsidP="00351DCC">
      <w:pPr>
        <w:pStyle w:val="Heading1"/>
      </w:pPr>
      <w:bookmarkStart w:id="4" w:name="O_1184825"/>
      <w:bookmarkEnd w:id="4"/>
      <w:r w:rsidRPr="00351DCC">
        <w:t>Unit Sector</w:t>
      </w:r>
    </w:p>
    <w:p w:rsidR="00000000" w:rsidRPr="00351DCC" w:rsidP="00112486">
      <w:pPr>
        <w:pStyle w:val="BodyText"/>
      </w:pPr>
      <w:r w:rsidRPr="00351DCC">
        <w:t>Operational (OPR)</w:t>
      </w:r>
    </w:p>
    <w:p w:rsidR="00000000" w:rsidRPr="00351DCC" w:rsidP="00351DCC">
      <w:pPr>
        <w:pStyle w:val="Heading1"/>
      </w:pPr>
      <w:bookmarkStart w:id="5" w:name="O_1184826"/>
      <w:bookmarkEnd w:id="5"/>
      <w:r w:rsidRPr="00351D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Performance Criteria</w:t>
            </w:r>
          </w:p>
        </w:tc>
      </w:tr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1.1 Confirm materials are available to meet product specification</w:t>
            </w:r>
          </w:p>
          <w:p w:rsidR="00000000" w:rsidRPr="00351DCC" w:rsidP="00351DCC">
            <w:pPr>
              <w:pStyle w:val="BodyText"/>
            </w:pPr>
            <w:r w:rsidRPr="00351DCC">
              <w:t>1.2 Confirm equipment is clean and ready for operation</w:t>
            </w:r>
            <w:r w:rsidRPr="00351DCC">
              <w:t xml:space="preserve"> according to </w:t>
            </w:r>
            <w:r w:rsidRPr="00351DCC">
              <w:t>work health, safety and food safety requirements</w:t>
            </w:r>
          </w:p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1.3 Wear appropriate personal protective clothing and ensure correct fit</w:t>
            </w:r>
          </w:p>
        </w:tc>
      </w:tr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2. Prepare equipment for pre-processing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2.1 Fit machine components and related attachments, and adjust to meet operating requirements</w:t>
            </w:r>
          </w:p>
          <w:p w:rsidR="00000000" w:rsidRPr="00351DCC" w:rsidP="00351DCC">
            <w:pPr>
              <w:pStyle w:val="BodyText"/>
            </w:pPr>
            <w:r w:rsidRPr="00351DCC">
              <w:t>2.2 Enter processing and operating parameters to meet safety and production requirements</w:t>
            </w:r>
          </w:p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2.3 Carry out pre-start checks according to safe work procedures</w:t>
            </w:r>
          </w:p>
        </w:tc>
      </w:tr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3. Oper</w:t>
            </w:r>
            <w:r w:rsidRPr="00351DCC">
              <w:t>ate and monitor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3.1 Start, operate and monitor equipment to ensure optimal performance</w:t>
            </w:r>
          </w:p>
          <w:p w:rsidR="00000000" w:rsidRPr="00351DCC" w:rsidP="00351DCC">
            <w:pPr>
              <w:pStyle w:val="BodyText"/>
            </w:pPr>
            <w:r w:rsidRPr="00351DCC">
              <w:t>3.2 Monitor control points in the process to confirm that product specifications are met</w:t>
            </w:r>
          </w:p>
          <w:p w:rsidR="00000000" w:rsidRPr="00351DCC" w:rsidP="00351DCC">
            <w:pPr>
              <w:pStyle w:val="BodyText"/>
            </w:pPr>
            <w:r w:rsidRPr="00351DCC">
              <w:t>3.3 Take samples and test product to ensure specifica</w:t>
            </w:r>
            <w:r w:rsidRPr="00351DCC">
              <w:t>tions are met</w:t>
            </w:r>
          </w:p>
          <w:p w:rsidR="00000000" w:rsidRPr="00351DCC" w:rsidP="00351DCC">
            <w:pPr>
              <w:pStyle w:val="BodyText"/>
            </w:pPr>
            <w:r w:rsidRPr="00351DCC">
              <w:t>3.4 Identify, adjust and report out-of-specification equipment, product or process outcomes according to workplace requirements</w:t>
            </w:r>
          </w:p>
          <w:p w:rsidR="00000000" w:rsidRPr="00351DCC" w:rsidP="00351DCC">
            <w:pPr>
              <w:pStyle w:val="BodyText"/>
            </w:pPr>
            <w:r w:rsidRPr="00351DCC">
              <w:t>3.5 Maintain the work area according to safe work and food safety procedures</w:t>
            </w:r>
          </w:p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3.6 Maintain workplace records, inclu</w:t>
            </w:r>
            <w:r w:rsidRPr="00351DCC">
              <w:t>ding traceability and biosecurity records, according to workplace procedures</w:t>
            </w:r>
          </w:p>
        </w:tc>
      </w:tr>
      <w:tr w:rsidTr="00112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4. Shut down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4.1 Identify the appropriate shutdown procedure</w:t>
            </w:r>
          </w:p>
          <w:p w:rsidR="00000000" w:rsidRPr="00351DCC" w:rsidP="00351DCC">
            <w:pPr>
              <w:pStyle w:val="BodyText"/>
            </w:pPr>
            <w:r w:rsidRPr="00351DCC">
              <w:t>4.2 Shut down the process according to safe work procedures</w:t>
            </w:r>
          </w:p>
          <w:p w:rsidR="00000000" w:rsidRPr="00351DCC" w:rsidP="00351DCC">
            <w:pPr>
              <w:pStyle w:val="BodyText"/>
            </w:pPr>
            <w:r w:rsidRPr="00351DCC">
              <w:t>4.3 Identify and report mainte</w:t>
            </w:r>
            <w:r w:rsidRPr="00351DCC">
              <w:t>nance requirements according to workplace procedures</w:t>
            </w:r>
          </w:p>
          <w:p w:rsidR="00000000" w:rsidRPr="00351DCC" w:rsidP="00351DCC">
            <w:pPr>
              <w:pStyle w:val="BodyText"/>
            </w:pPr>
            <w:r w:rsidRPr="00351DCC">
              <w:t>4.4 Ensure waste is disposed of in line with environmental requirements</w:t>
            </w:r>
          </w:p>
        </w:tc>
      </w:tr>
    </w:tbl>
    <w:p w:rsidR="00000000" w:rsidRPr="00351DCC" w:rsidP="00351DCC">
      <w:pPr>
        <w:pStyle w:val="BodyText"/>
      </w:pPr>
    </w:p>
    <w:p w:rsidR="00000000" w:rsidRPr="00351DCC" w:rsidP="00351DCC">
      <w:pPr>
        <w:pStyle w:val="AllowPageBreak"/>
      </w:pPr>
    </w:p>
    <w:p w:rsidR="00000000" w:rsidRPr="00351DCC" w:rsidP="00351DCC">
      <w:pPr>
        <w:pStyle w:val="Heading1"/>
      </w:pPr>
      <w:bookmarkStart w:id="6" w:name="O_1184827"/>
      <w:bookmarkEnd w:id="6"/>
      <w:r w:rsidRPr="00351DCC">
        <w:t>Foundation Skills</w:t>
      </w:r>
    </w:p>
    <w:p w:rsidR="00000000" w:rsidRPr="00112486" w:rsidP="00112486">
      <w:pPr>
        <w:pStyle w:val="BodyText"/>
        <w:rPr>
          <w:i/>
        </w:rPr>
      </w:pPr>
      <w:r w:rsidRPr="00112486">
        <w:rPr>
          <w:rStyle w:val="Emphasis"/>
        </w:rPr>
        <w:t>This section describes those language</w:t>
      </w:r>
      <w:r w:rsidRPr="00112486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Description</w:t>
            </w:r>
          </w:p>
        </w:tc>
      </w:tr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ListBullet"/>
            </w:pPr>
            <w:r w:rsidRPr="00351DCC">
              <w:t>Interpret workplace and standard operating procedures relevant to job tas</w:t>
            </w:r>
            <w:r w:rsidRPr="00351DCC">
              <w:t>k</w:t>
            </w:r>
          </w:p>
          <w:p w:rsidR="00000000" w:rsidP="00351DCC">
            <w:pPr>
              <w:pStyle w:val="ListBullet"/>
              <w:rPr>
                <w:lang w:val="en-NZ"/>
              </w:rPr>
            </w:pPr>
            <w:r w:rsidRPr="00351DCC">
              <w:t>Interpret production requirements</w:t>
            </w:r>
          </w:p>
        </w:tc>
      </w:tr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ListBullet"/>
              <w:rPr>
                <w:lang w:val="en-NZ"/>
              </w:rPr>
            </w:pPr>
            <w:r w:rsidRPr="00351DCC">
              <w:t>Record processing data using digital and/or paper-based formats</w:t>
            </w:r>
          </w:p>
        </w:tc>
      </w:tr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ListBullet"/>
            </w:pPr>
            <w:r w:rsidRPr="00351DCC">
              <w:t>Monitor and interpret production and process control indicators and data</w:t>
            </w:r>
          </w:p>
          <w:p w:rsidR="00000000" w:rsidRPr="00351DCC" w:rsidP="00351DCC">
            <w:pPr>
              <w:pStyle w:val="ListBullet"/>
            </w:pPr>
            <w:r w:rsidRPr="00351DCC">
              <w:t>Measure product using weight (g, Kg) and volume (ml, L)</w:t>
            </w:r>
          </w:p>
        </w:tc>
      </w:tr>
    </w:tbl>
    <w:p w:rsidR="00000000" w:rsidRPr="00351DCC" w:rsidP="00351DCC">
      <w:pPr>
        <w:pStyle w:val="BodyText"/>
      </w:pPr>
    </w:p>
    <w:p w:rsidR="00000000" w:rsidRPr="00351DCC" w:rsidP="00351DCC">
      <w:pPr>
        <w:pStyle w:val="AllowPageBreak"/>
      </w:pPr>
    </w:p>
    <w:p w:rsidR="00000000" w:rsidRPr="00351DCC" w:rsidP="00351DCC">
      <w:pPr>
        <w:pStyle w:val="Heading1"/>
      </w:pPr>
      <w:bookmarkStart w:id="7" w:name="O_1184829"/>
      <w:bookmarkEnd w:id="7"/>
      <w:r w:rsidRPr="00351D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Bold"/>
              <w:rPr>
                <w:lang w:val="en-NZ"/>
              </w:rPr>
            </w:pPr>
            <w:r w:rsidRPr="00351DCC">
              <w:t>Equivalence status</w:t>
            </w:r>
          </w:p>
        </w:tc>
      </w:tr>
      <w:tr w:rsidTr="00351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FBPOPR3015 Pre-process raw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>FBPOPR2048 Pre-process raw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>Unit code updated to better match work task</w:t>
            </w:r>
          </w:p>
          <w:p w:rsidR="00000000" w:rsidRPr="00351DCC" w:rsidP="00351DCC">
            <w:pPr>
              <w:pStyle w:val="BodyText"/>
            </w:pPr>
            <w:r w:rsidRPr="00351DCC">
              <w:t>Minor changes to Performance Criteria to clarify task</w:t>
            </w:r>
          </w:p>
          <w:p w:rsidR="00000000" w:rsidRPr="00351DCC" w:rsidP="00351DCC">
            <w:pPr>
              <w:pStyle w:val="BodyText"/>
            </w:pPr>
            <w:r w:rsidRPr="00351DCC">
              <w:t>Foundation Skills refined</w:t>
            </w:r>
          </w:p>
          <w:p w:rsidR="00000000" w:rsidRPr="00351DCC" w:rsidP="00351DCC">
            <w:pPr>
              <w:pStyle w:val="BodyText"/>
            </w:pPr>
            <w:r w:rsidRPr="00351DCC">
              <w:t>Performance Evidence clarified</w:t>
            </w:r>
          </w:p>
          <w:p w:rsidR="00000000" w:rsidP="00351DCC">
            <w:pPr>
              <w:pStyle w:val="BodyText"/>
              <w:rPr>
                <w:lang w:val="en-NZ"/>
              </w:rPr>
            </w:pPr>
            <w:r w:rsidRPr="00351DCC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DCC" w:rsidP="00351DCC">
            <w:pPr>
              <w:pStyle w:val="BodyText"/>
            </w:pPr>
            <w:r w:rsidRPr="00351DCC">
              <w:t xml:space="preserve">Equivalent </w:t>
            </w:r>
          </w:p>
        </w:tc>
      </w:tr>
    </w:tbl>
    <w:p w:rsidR="00000000" w:rsidRPr="00351DCC" w:rsidP="00351DCC">
      <w:pPr>
        <w:pStyle w:val="BodyText"/>
      </w:pPr>
    </w:p>
    <w:p w:rsidR="00000000" w:rsidRPr="00351DCC" w:rsidP="00351DCC">
      <w:pPr>
        <w:pStyle w:val="AllowPageBreak"/>
      </w:pPr>
    </w:p>
    <w:p w:rsidR="00000000" w:rsidRPr="00351DCC" w:rsidP="00351DCC">
      <w:pPr>
        <w:pStyle w:val="Heading1"/>
      </w:pPr>
      <w:bookmarkStart w:id="8" w:name="O_1184836"/>
      <w:bookmarkEnd w:id="8"/>
      <w:r w:rsidRPr="00351DCC">
        <w:t>Links</w:t>
      </w:r>
    </w:p>
    <w:p w:rsidR="00000000" w:rsidRPr="00351DCC" w:rsidP="00112486">
      <w:pPr>
        <w:pStyle w:val="BodyText"/>
      </w:pPr>
      <w:r w:rsidRPr="00351DCC">
        <w:t>Companion Volumes, including Implementation</w:t>
      </w:r>
      <w:r w:rsidRPr="00351DCC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49E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1DCC" w:rsidP="00351DCC"/>
    <w:sectPr w:rsidSect="00351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CC" w:rsidRPr="00112486" w:rsidP="00112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86" w:rsidP="00351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486" w:rsidP="00351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486" w:rsidP="00351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DCC" w:rsidRPr="00112486" w:rsidP="00112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86" w:rsidRPr="002D2AF8" w:rsidP="00351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FBPOPR3015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12486" w:rsidP="00351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69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2CA5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DCC"/>
  </w:style>
  <w:style w:type="character" w:customStyle="1" w:styleId="Heading1Char">
    <w:name w:val="Heading 1 Char"/>
    <w:basedOn w:val="DefaultParagraphFont"/>
    <w:link w:val="Heading1"/>
    <w:rsid w:val="00351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D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1DCC"/>
    <w:rPr>
      <w:i/>
    </w:rPr>
  </w:style>
  <w:style w:type="paragraph" w:customStyle="1" w:styleId="SuperHeading">
    <w:name w:val="SuperHeading"/>
    <w:basedOn w:val="Normal"/>
    <w:rsid w:val="00351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1DCC"/>
    <w:rPr>
      <w:b/>
    </w:rPr>
  </w:style>
  <w:style w:type="character" w:customStyle="1" w:styleId="Heading2Char">
    <w:name w:val="Heading 2 Char"/>
    <w:basedOn w:val="DefaultParagraphFont"/>
    <w:link w:val="Heading2"/>
    <w:rsid w:val="00351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DCC"/>
    <w:rPr>
      <w:b/>
      <w:spacing w:val="0"/>
    </w:rPr>
  </w:style>
  <w:style w:type="paragraph" w:customStyle="1" w:styleId="SuperTitle">
    <w:name w:val="SuperTitle"/>
    <w:basedOn w:val="Title"/>
    <w:rsid w:val="00351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DCC"/>
  </w:style>
  <w:style w:type="paragraph" w:styleId="TableofFigures">
    <w:name w:val="table of figures"/>
    <w:basedOn w:val="Normal"/>
    <w:next w:val="Normal"/>
    <w:semiHidden/>
    <w:rsid w:val="00351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DCC"/>
    <w:rPr>
      <w:rFonts w:ascii="Wingdings" w:hAnsi="Wingdings"/>
    </w:rPr>
  </w:style>
  <w:style w:type="paragraph" w:customStyle="1" w:styleId="TableHeading">
    <w:name w:val="Table Heading"/>
    <w:basedOn w:val="HeadingBase"/>
    <w:rsid w:val="00351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DCC"/>
    <w:rPr>
      <w:color w:val="0033CC"/>
      <w:u w:val="none"/>
    </w:rPr>
  </w:style>
  <w:style w:type="paragraph" w:customStyle="1" w:styleId="BodyTextRight">
    <w:name w:val="Body Text Right"/>
    <w:basedOn w:val="BodyText"/>
    <w:rsid w:val="00351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DCC"/>
    <w:rPr>
      <w:sz w:val="32"/>
    </w:rPr>
  </w:style>
  <w:style w:type="paragraph" w:customStyle="1" w:styleId="HeadingProcedure">
    <w:name w:val="Heading Procedure"/>
    <w:basedOn w:val="HeadingBase"/>
    <w:next w:val="Normal"/>
    <w:rsid w:val="00351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DCC"/>
    <w:pPr>
      <w:spacing w:before="60" w:after="60"/>
    </w:pPr>
  </w:style>
  <w:style w:type="paragraph" w:styleId="ListContinue">
    <w:name w:val="List Continue"/>
    <w:basedOn w:val="List"/>
    <w:rsid w:val="00351DCC"/>
    <w:pPr>
      <w:ind w:firstLine="0"/>
    </w:pPr>
  </w:style>
  <w:style w:type="paragraph" w:customStyle="1" w:styleId="ListNote">
    <w:name w:val="List Note"/>
    <w:basedOn w:val="List"/>
    <w:rsid w:val="00351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DCC"/>
    <w:rPr>
      <w:rFonts w:ascii="Courier New" w:hAnsi="Courier New"/>
    </w:rPr>
  </w:style>
  <w:style w:type="paragraph" w:customStyle="1" w:styleId="NoteBullet">
    <w:name w:val="Note Bullet"/>
    <w:basedOn w:val="Note"/>
    <w:rsid w:val="00351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DCC"/>
    <w:rPr>
      <w:b/>
      <w:smallCaps/>
    </w:rPr>
  </w:style>
  <w:style w:type="paragraph" w:customStyle="1" w:styleId="TableListNumber">
    <w:name w:val="Table List Number"/>
    <w:basedOn w:val="ListNumber"/>
    <w:rsid w:val="00351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DCC"/>
    <w:pPr>
      <w:numPr>
        <w:numId w:val="8"/>
      </w:numPr>
    </w:pPr>
  </w:style>
  <w:style w:type="paragraph" w:customStyle="1" w:styleId="ListAlpha2">
    <w:name w:val="List Alpha 2"/>
    <w:basedOn w:val="List2"/>
    <w:rsid w:val="00351DCC"/>
    <w:pPr>
      <w:numPr>
        <w:numId w:val="7"/>
      </w:numPr>
    </w:pPr>
  </w:style>
  <w:style w:type="paragraph" w:styleId="List2">
    <w:name w:val="List 2"/>
    <w:basedOn w:val="BodyText"/>
    <w:rsid w:val="00351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DCC"/>
    <w:pPr>
      <w:numPr>
        <w:numId w:val="3"/>
      </w:numPr>
    </w:pPr>
  </w:style>
  <w:style w:type="paragraph" w:styleId="ListContinue2">
    <w:name w:val="List Continue 2"/>
    <w:basedOn w:val="List2"/>
    <w:rsid w:val="00351DCC"/>
    <w:pPr>
      <w:ind w:firstLine="0"/>
    </w:pPr>
  </w:style>
  <w:style w:type="paragraph" w:styleId="ListContinue3">
    <w:name w:val="List Continue 3"/>
    <w:basedOn w:val="List3"/>
    <w:rsid w:val="00351DCC"/>
    <w:pPr>
      <w:ind w:left="1021" w:firstLine="0"/>
    </w:pPr>
  </w:style>
  <w:style w:type="paragraph" w:styleId="ListContinue4">
    <w:name w:val="List Continue 4"/>
    <w:basedOn w:val="List4"/>
    <w:rsid w:val="00351DCC"/>
    <w:pPr>
      <w:ind w:firstLine="0"/>
    </w:pPr>
  </w:style>
  <w:style w:type="paragraph" w:styleId="ListContinue5">
    <w:name w:val="List Continue 5"/>
    <w:basedOn w:val="List5"/>
    <w:rsid w:val="00351DCC"/>
    <w:pPr>
      <w:ind w:firstLine="0"/>
    </w:pPr>
  </w:style>
  <w:style w:type="paragraph" w:styleId="ListNumber3">
    <w:name w:val="List Number 3"/>
    <w:basedOn w:val="List3"/>
    <w:rsid w:val="00351DCC"/>
    <w:pPr>
      <w:numPr>
        <w:numId w:val="4"/>
      </w:numPr>
    </w:pPr>
  </w:style>
  <w:style w:type="paragraph" w:styleId="ListNumber4">
    <w:name w:val="List Number 4"/>
    <w:basedOn w:val="List4"/>
    <w:rsid w:val="00351DCC"/>
    <w:pPr>
      <w:numPr>
        <w:numId w:val="5"/>
      </w:numPr>
    </w:pPr>
  </w:style>
  <w:style w:type="paragraph" w:styleId="ListNumber5">
    <w:name w:val="List Number 5"/>
    <w:basedOn w:val="List5"/>
    <w:rsid w:val="00351DCC"/>
    <w:pPr>
      <w:numPr>
        <w:numId w:val="6"/>
      </w:numPr>
    </w:pPr>
  </w:style>
  <w:style w:type="paragraph" w:styleId="BlockText">
    <w:name w:val="Block Text"/>
    <w:basedOn w:val="Normal"/>
    <w:rsid w:val="00351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DCC"/>
    <w:rPr>
      <w:sz w:val="16"/>
      <w:vertAlign w:val="superscript"/>
    </w:rPr>
  </w:style>
  <w:style w:type="character" w:customStyle="1" w:styleId="Symbols">
    <w:name w:val="Symbols"/>
    <w:basedOn w:val="DefaultParagraphFont"/>
    <w:rsid w:val="00351DCC"/>
    <w:rPr>
      <w:rFonts w:ascii="Symbol" w:hAnsi="Symbol"/>
    </w:rPr>
  </w:style>
  <w:style w:type="character" w:customStyle="1" w:styleId="MenuOptions">
    <w:name w:val="Menu Options"/>
    <w:basedOn w:val="DefaultParagraphFont"/>
    <w:rsid w:val="00351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DCC"/>
    <w:rPr>
      <w:b/>
    </w:rPr>
  </w:style>
  <w:style w:type="character" w:customStyle="1" w:styleId="Underlined">
    <w:name w:val="Underlined"/>
    <w:basedOn w:val="DefaultParagraphFont"/>
    <w:rsid w:val="00351DCC"/>
    <w:rPr>
      <w:u w:val="single"/>
    </w:rPr>
  </w:style>
  <w:style w:type="paragraph" w:customStyle="1" w:styleId="TableBodyTextRight">
    <w:name w:val="Table Body Text Right"/>
    <w:basedOn w:val="TableBodyText"/>
    <w:rsid w:val="00351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DCC"/>
    <w:rPr>
      <w:sz w:val="18"/>
    </w:rPr>
  </w:style>
  <w:style w:type="paragraph" w:customStyle="1" w:styleId="BodySmallRight">
    <w:name w:val="Body Small Right"/>
    <w:basedOn w:val="BodyTextRight"/>
    <w:rsid w:val="00351DCC"/>
    <w:rPr>
      <w:sz w:val="18"/>
      <w:szCs w:val="18"/>
    </w:rPr>
  </w:style>
  <w:style w:type="paragraph" w:customStyle="1" w:styleId="MarginEdition">
    <w:name w:val="Margin Edition"/>
    <w:basedOn w:val="MarginNote"/>
    <w:rsid w:val="00351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DCC"/>
    <w:rPr>
      <w:sz w:val="2"/>
      <w:szCs w:val="2"/>
    </w:rPr>
  </w:style>
  <w:style w:type="character" w:customStyle="1" w:styleId="Small">
    <w:name w:val="Small"/>
    <w:basedOn w:val="DefaultParagraphFont"/>
    <w:rsid w:val="00351DCC"/>
    <w:rPr>
      <w:sz w:val="16"/>
    </w:rPr>
  </w:style>
  <w:style w:type="paragraph" w:customStyle="1" w:styleId="WideTable">
    <w:name w:val="Wide Table"/>
    <w:basedOn w:val="Normal"/>
    <w:rsid w:val="00351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DCC"/>
  </w:style>
  <w:style w:type="paragraph" w:styleId="Quote">
    <w:name w:val="Quote"/>
    <w:basedOn w:val="Heading1"/>
    <w:link w:val="QuoteChar"/>
    <w:qFormat/>
    <w:rsid w:val="00351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DCC"/>
    <w:pPr>
      <w:pageBreakBefore/>
    </w:pPr>
  </w:style>
  <w:style w:type="paragraph" w:customStyle="1" w:styleId="Border">
    <w:name w:val="Border"/>
    <w:basedOn w:val="Normal"/>
    <w:qFormat/>
    <w:rsid w:val="00351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DCC"/>
    <w:rPr>
      <w:u w:val="single"/>
    </w:rPr>
  </w:style>
  <w:style w:type="character" w:customStyle="1" w:styleId="BoldandItalics">
    <w:name w:val="Bold and Italics"/>
    <w:qFormat/>
    <w:rsid w:val="00351DCC"/>
    <w:rPr>
      <w:b/>
      <w:i/>
      <w:u w:val="none"/>
    </w:rPr>
  </w:style>
  <w:style w:type="paragraph" w:styleId="BalloonText">
    <w:name w:val="Balloon Text"/>
    <w:basedOn w:val="Normal"/>
    <w:link w:val="BalloonTextChar"/>
    <w:rsid w:val="00351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D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2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3571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FBPOPR3015 Pre-process raw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