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BB4" w:rsidP="00EC2B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FBPOPR3003 Identify cultural, religious and dietary considerations for food production</w:t>
      </w:r>
      <w:r>
        <w:fldChar w:fldCharType="end"/>
      </w:r>
    </w:p>
    <w:p w:rsidR="00EC2BB4" w:rsidP="00EC2BB4">
      <w:pPr>
        <w:pStyle w:val="Version"/>
        <w:sectPr w:rsidSect="00CF10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10FB" w:rsidP="00CF10FB">
      <w:pPr>
        <w:pStyle w:val="SuperHeading"/>
      </w:pPr>
      <w:r w:rsidRPr="00CF10FB">
        <w:t>Assessment Requirements for FBPOPR3003 Identify cultural, religious and dietary considerations for food production</w:t>
      </w:r>
    </w:p>
    <w:p w:rsidR="00000000" w:rsidRPr="00CF10FB" w:rsidP="00CF10FB">
      <w:pPr>
        <w:pStyle w:val="Heading1"/>
      </w:pPr>
      <w:bookmarkStart w:id="1" w:name="O_969996"/>
      <w:bookmarkEnd w:id="1"/>
      <w:r w:rsidRPr="00CF10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F10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0FB" w:rsidP="00CF10FB">
            <w:pPr>
              <w:pStyle w:val="BodyText"/>
            </w:pPr>
            <w:r w:rsidRPr="00CF10F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0FB">
            <w:pPr>
              <w:pStyle w:val="BodyText"/>
              <w:rPr>
                <w:lang w:val="en-NZ"/>
              </w:rPr>
            </w:pPr>
            <w:r w:rsidRPr="00CF10FB">
              <w:rPr>
                <w:rStyle w:val="SpecialBold"/>
              </w:rPr>
              <w:t>Comments</w:t>
            </w:r>
          </w:p>
        </w:tc>
      </w:tr>
      <w:tr w:rsidTr="00CF10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0FB">
            <w:pPr>
              <w:pStyle w:val="BodyText"/>
              <w:rPr>
                <w:lang w:val="en-NZ"/>
              </w:rPr>
            </w:pPr>
            <w:r w:rsidRPr="00CF10F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0FB" w:rsidP="00CF10FB">
            <w:pPr>
              <w:pStyle w:val="BodyText"/>
            </w:pPr>
            <w:r w:rsidRPr="00CF10FB">
              <w:t>This version released with FBP Food, Beverage and Pharmaceutical Training Package Version 1.0</w:t>
            </w:r>
          </w:p>
        </w:tc>
      </w:tr>
    </w:tbl>
    <w:p w:rsidR="00000000" w:rsidRPr="00CF10FB" w:rsidP="00CF10FB">
      <w:pPr>
        <w:pStyle w:val="BodyText"/>
      </w:pPr>
    </w:p>
    <w:p w:rsidR="00000000" w:rsidRPr="00CF10FB" w:rsidP="00CF10FB">
      <w:pPr>
        <w:pStyle w:val="AllowPageBreak"/>
      </w:pPr>
    </w:p>
    <w:p w:rsidR="00000000" w:rsidRPr="00CF10FB" w:rsidP="00CF10FB">
      <w:pPr>
        <w:pStyle w:val="Heading1"/>
      </w:pPr>
      <w:bookmarkStart w:id="2" w:name="O_969997"/>
      <w:bookmarkEnd w:id="2"/>
      <w:r w:rsidRPr="00CF10FB">
        <w:t>Performance Evidence</w:t>
      </w:r>
    </w:p>
    <w:p w:rsidR="00000000" w:rsidRPr="00CF10FB" w:rsidP="00EC2BB4">
      <w:pPr>
        <w:pStyle w:val="BodyText"/>
      </w:pPr>
      <w:r w:rsidRPr="00CF10FB">
        <w:t>An individual demonstrating competency in this unit must satisfy all of the elements and performance criteria of this unit</w:t>
      </w:r>
      <w:r w:rsidRPr="00CF10FB">
        <w:t>.</w:t>
      </w:r>
    </w:p>
    <w:p w:rsidR="00000000" w:rsidRPr="00CF10FB" w:rsidP="00EC2BB4">
      <w:pPr>
        <w:pStyle w:val="BodyText"/>
      </w:pPr>
      <w:r w:rsidRPr="00CF10FB">
        <w:t>There must be evidence that the individual has identified cultural, religious and dietary considerations for food production on at least two separate occasions, including:</w:t>
      </w:r>
    </w:p>
    <w:p w:rsidR="00000000" w:rsidRPr="00CF10FB" w:rsidP="00CF10FB">
      <w:pPr>
        <w:pStyle w:val="ListBullet"/>
      </w:pPr>
      <w:r w:rsidRPr="00CF10FB">
        <w:t>using communication skills to interpret customer requests, and suggesting appropr</w:t>
      </w:r>
      <w:r w:rsidRPr="00CF10FB">
        <w:t>iate products that meet customer requirements</w:t>
      </w:r>
    </w:p>
    <w:p w:rsidR="00000000" w:rsidRPr="00CF10FB" w:rsidP="00CF10FB">
      <w:pPr>
        <w:pStyle w:val="ListBullet"/>
      </w:pPr>
      <w:r w:rsidRPr="00CF10FB">
        <w:t>accessing information on cultural, religious and dietary needs</w:t>
      </w:r>
    </w:p>
    <w:p w:rsidR="00000000" w:rsidRPr="00CF10FB" w:rsidP="00CF10FB">
      <w:pPr>
        <w:pStyle w:val="ListBullet"/>
      </w:pPr>
      <w:r w:rsidRPr="00CF10FB">
        <w:t>applying product knowledge to determine appropriate food products and processes to comply with cultural, religious or dietary considerations</w:t>
      </w:r>
    </w:p>
    <w:p w:rsidR="00000000" w:rsidRPr="00CF10FB" w:rsidP="00CF10FB">
      <w:pPr>
        <w:pStyle w:val="ListBullet"/>
      </w:pPr>
      <w:r w:rsidRPr="00CF10FB">
        <w:t>identifying common food-related allergens</w:t>
      </w:r>
    </w:p>
    <w:p w:rsidR="00000000" w:rsidRPr="00CF10FB" w:rsidP="00CF10FB">
      <w:pPr>
        <w:pStyle w:val="ListBullet"/>
      </w:pPr>
      <w:r w:rsidRPr="00CF10FB">
        <w:t>identifying procedures to avoid food contamination.</w:t>
      </w:r>
    </w:p>
    <w:p w:rsidR="00000000" w:rsidRPr="00CF10FB" w:rsidP="00CF10FB">
      <w:pPr>
        <w:pStyle w:val="AllowPageBreak"/>
      </w:pPr>
    </w:p>
    <w:p w:rsidR="00000000" w:rsidRPr="00CF10FB" w:rsidP="00CF10FB">
      <w:pPr>
        <w:pStyle w:val="Heading1"/>
      </w:pPr>
      <w:bookmarkStart w:id="3" w:name="O_969998"/>
      <w:bookmarkEnd w:id="3"/>
      <w:r w:rsidRPr="00CF10FB">
        <w:t>Knowledge Evidence</w:t>
      </w:r>
    </w:p>
    <w:p w:rsidR="00000000" w:rsidRPr="00CF10FB" w:rsidP="00EC2BB4">
      <w:pPr>
        <w:pStyle w:val="BodyText"/>
      </w:pPr>
      <w:r w:rsidRPr="00CF10FB">
        <w:t>An individual must be able to demonstrate the knowledge required to perform the tasks outlined in the elements and performance</w:t>
      </w:r>
      <w:r w:rsidRPr="00CF10FB">
        <w:t xml:space="preserve"> criteria of this unit. This includes knowledge of:</w:t>
      </w:r>
    </w:p>
    <w:p w:rsidR="00000000" w:rsidRPr="00CF10FB" w:rsidP="00CF10FB">
      <w:pPr>
        <w:pStyle w:val="ListBullet"/>
      </w:pPr>
      <w:r w:rsidRPr="00CF10FB">
        <w:t>ingredients of available food products which can impact on specific cultural, religious and dietary requirements of customers</w:t>
      </w:r>
    </w:p>
    <w:p w:rsidR="00000000" w:rsidRPr="00CF10FB" w:rsidP="00CF10FB">
      <w:pPr>
        <w:pStyle w:val="ListBullet"/>
      </w:pPr>
      <w:r w:rsidRPr="00CF10FB">
        <w:t xml:space="preserve">food production processes of products which can impact on specific cultural, </w:t>
      </w:r>
      <w:r w:rsidRPr="00CF10FB">
        <w:t>religious and dietary requirements of customer including:</w:t>
      </w:r>
    </w:p>
    <w:p w:rsidR="00000000" w:rsidRPr="00CF10FB" w:rsidP="00CF10FB">
      <w:pPr>
        <w:pStyle w:val="ListBullet2"/>
      </w:pPr>
      <w:r w:rsidRPr="00CF10FB">
        <w:t>food safety principles and regulations</w:t>
      </w:r>
    </w:p>
    <w:p w:rsidR="00000000" w:rsidRPr="00CF10FB" w:rsidP="00CF10FB">
      <w:pPr>
        <w:pStyle w:val="ListBullet2"/>
      </w:pPr>
      <w:r w:rsidRPr="00CF10FB">
        <w:t>food safety hazards and risks</w:t>
      </w:r>
    </w:p>
    <w:p w:rsidR="00000000" w:rsidRPr="00CF10FB" w:rsidP="00CF10FB">
      <w:pPr>
        <w:pStyle w:val="ListBullet2"/>
      </w:pPr>
      <w:r w:rsidRPr="00CF10FB">
        <w:t>food safety program requirements</w:t>
      </w:r>
    </w:p>
    <w:p w:rsidR="00000000" w:rsidRPr="00CF10FB" w:rsidP="00CF10FB">
      <w:pPr>
        <w:pStyle w:val="ListBullet2"/>
      </w:pPr>
      <w:r w:rsidRPr="00CF10FB">
        <w:t>client conditions and associated needs and requirements</w:t>
      </w:r>
    </w:p>
    <w:p w:rsidR="00000000" w:rsidRPr="00CF10FB" w:rsidP="00CF10FB">
      <w:pPr>
        <w:pStyle w:val="ListBullet"/>
      </w:pPr>
      <w:r w:rsidRPr="00CF10FB">
        <w:t>specific dietary requirements, including:</w:t>
      </w:r>
    </w:p>
    <w:p w:rsidR="00000000" w:rsidRPr="00CF10FB" w:rsidP="00CF10FB">
      <w:pPr>
        <w:pStyle w:val="ListBullet2"/>
      </w:pPr>
      <w:r w:rsidRPr="00CF10FB">
        <w:t>coeliac</w:t>
      </w:r>
    </w:p>
    <w:p w:rsidR="00000000" w:rsidRPr="00CF10FB" w:rsidP="00CF10FB">
      <w:pPr>
        <w:pStyle w:val="ListBullet2"/>
      </w:pPr>
      <w:r w:rsidRPr="00CF10FB">
        <w:t>diabetes</w:t>
      </w:r>
    </w:p>
    <w:p w:rsidR="00000000" w:rsidRPr="00CF10FB" w:rsidP="00CF10FB">
      <w:pPr>
        <w:pStyle w:val="ListBullet2"/>
      </w:pPr>
      <w:r w:rsidRPr="00CF10FB">
        <w:t>food allergies</w:t>
      </w:r>
    </w:p>
    <w:p w:rsidR="00000000" w:rsidRPr="00CF10FB" w:rsidP="00CF10FB">
      <w:pPr>
        <w:pStyle w:val="ListBullet2"/>
      </w:pPr>
      <w:r w:rsidRPr="00CF10FB">
        <w:t>food intolerances</w:t>
      </w:r>
    </w:p>
    <w:p w:rsidR="00000000" w:rsidRPr="00CF10FB" w:rsidP="00CF10FB">
      <w:pPr>
        <w:pStyle w:val="ListBullet2"/>
      </w:pPr>
      <w:r w:rsidRPr="00CF10FB">
        <w:t>swallowing problems requiring food texture modification</w:t>
      </w:r>
    </w:p>
    <w:p w:rsidR="00000000" w:rsidRPr="00CF10FB" w:rsidP="00CF10FB">
      <w:pPr>
        <w:pStyle w:val="ListBullet2"/>
      </w:pPr>
      <w:r w:rsidRPr="00CF10FB">
        <w:t>malnutrition</w:t>
      </w:r>
    </w:p>
    <w:p w:rsidR="00000000" w:rsidRPr="00CF10FB" w:rsidP="00CF10FB">
      <w:pPr>
        <w:pStyle w:val="ListBullet"/>
      </w:pPr>
      <w:r w:rsidRPr="00CF10FB">
        <w:t>different cultural requirements that impact on food production processes, including:</w:t>
      </w:r>
    </w:p>
    <w:p w:rsidR="00000000" w:rsidRPr="00CF10FB" w:rsidP="00CF10FB">
      <w:pPr>
        <w:pStyle w:val="ListBullet2"/>
      </w:pPr>
      <w:r w:rsidRPr="00CF10FB">
        <w:t>halal</w:t>
      </w:r>
    </w:p>
    <w:p w:rsidR="00000000" w:rsidRPr="00CF10FB" w:rsidP="00CF10FB">
      <w:pPr>
        <w:pStyle w:val="ListBullet2"/>
      </w:pPr>
      <w:r w:rsidRPr="00CF10FB">
        <w:t>H</w:t>
      </w:r>
      <w:r w:rsidRPr="00CF10FB">
        <w:t>indu</w:t>
      </w:r>
    </w:p>
    <w:p w:rsidR="00000000" w:rsidRPr="00CF10FB" w:rsidP="00CF10FB">
      <w:pPr>
        <w:pStyle w:val="ListBullet2"/>
      </w:pPr>
      <w:r w:rsidRPr="00CF10FB">
        <w:t>kosher</w:t>
      </w:r>
    </w:p>
    <w:p w:rsidR="00000000" w:rsidRPr="00CF10FB" w:rsidP="00CF10FB">
      <w:pPr>
        <w:pStyle w:val="ListBullet2"/>
      </w:pPr>
      <w:r w:rsidRPr="00CF10FB">
        <w:t>vegetarian</w:t>
      </w:r>
    </w:p>
    <w:p w:rsidR="00000000" w:rsidRPr="00CF10FB" w:rsidP="00CF10FB">
      <w:pPr>
        <w:pStyle w:val="ListBullet2"/>
      </w:pPr>
      <w:r w:rsidRPr="00CF10FB">
        <w:t>vegan</w:t>
      </w:r>
    </w:p>
    <w:p w:rsidR="00000000" w:rsidRPr="00CF10FB" w:rsidP="00CF10FB">
      <w:pPr>
        <w:pStyle w:val="ListBullet"/>
      </w:pPr>
      <w:r w:rsidRPr="00CF10FB">
        <w:t>additional dietary guidelines for specific populations, including older people and unwell people</w:t>
      </w:r>
    </w:p>
    <w:p w:rsidR="00000000" w:rsidRPr="00CF10FB" w:rsidP="00CF10FB">
      <w:pPr>
        <w:pStyle w:val="ListBullet"/>
      </w:pPr>
      <w:r w:rsidRPr="00CF10FB">
        <w:t>key health and legal consequences of failing to address special food requirements including:</w:t>
      </w:r>
    </w:p>
    <w:p w:rsidR="00000000" w:rsidRPr="00CF10FB" w:rsidP="00CF10FB">
      <w:pPr>
        <w:pStyle w:val="ListBullet2"/>
      </w:pPr>
      <w:r w:rsidRPr="00CF10FB">
        <w:t>drug–food interactions</w:t>
      </w:r>
    </w:p>
    <w:p w:rsidR="00000000" w:rsidRPr="00CF10FB" w:rsidP="00CF10FB">
      <w:pPr>
        <w:pStyle w:val="ListBullet2"/>
      </w:pPr>
      <w:r w:rsidRPr="00CF10FB">
        <w:t>allergic reactions</w:t>
      </w:r>
    </w:p>
    <w:p w:rsidR="00000000" w:rsidRPr="00CF10FB" w:rsidP="00CF10FB">
      <w:pPr>
        <w:pStyle w:val="ListBullet2"/>
      </w:pPr>
      <w:r w:rsidRPr="00CF10FB">
        <w:t>anaphylaxis</w:t>
      </w:r>
    </w:p>
    <w:p w:rsidR="00000000" w:rsidRPr="00CF10FB" w:rsidP="00CF10FB">
      <w:pPr>
        <w:pStyle w:val="ListBullet2"/>
      </w:pPr>
      <w:r w:rsidRPr="00CF10FB">
        <w:t>food sensitivity or intolerance reactions</w:t>
      </w:r>
    </w:p>
    <w:p w:rsidR="00000000" w:rsidRPr="00CF10FB" w:rsidP="00CF10FB">
      <w:pPr>
        <w:pStyle w:val="ListBullet2"/>
      </w:pPr>
      <w:r w:rsidRPr="00CF10FB">
        <w:t>choking.</w:t>
      </w:r>
    </w:p>
    <w:p w:rsidR="00000000" w:rsidRPr="00CF10FB" w:rsidP="00CF10FB">
      <w:pPr>
        <w:pStyle w:val="AllowPageBreak"/>
      </w:pPr>
    </w:p>
    <w:p w:rsidR="00000000" w:rsidRPr="00CF10FB" w:rsidP="00CF10FB">
      <w:pPr>
        <w:pStyle w:val="Heading1"/>
      </w:pPr>
      <w:bookmarkStart w:id="4" w:name="O_969999"/>
      <w:bookmarkEnd w:id="4"/>
      <w:r w:rsidRPr="00CF10FB">
        <w:t>Assessment Conditions</w:t>
      </w:r>
    </w:p>
    <w:p w:rsidR="00000000" w:rsidRPr="00CF10FB" w:rsidP="00EC2BB4">
      <w:pPr>
        <w:pStyle w:val="BodyText"/>
      </w:pPr>
      <w:r w:rsidRPr="00CF10FB">
        <w:t>Assessment of skills must take place under the following conditions:</w:t>
      </w:r>
    </w:p>
    <w:p w:rsidR="00000000" w:rsidRPr="00CF10FB" w:rsidP="00CF10FB">
      <w:pPr>
        <w:pStyle w:val="ListBullet"/>
      </w:pPr>
      <w:r w:rsidRPr="00CF10FB">
        <w:t>physical conditions:</w:t>
      </w:r>
    </w:p>
    <w:p w:rsidR="00000000" w:rsidRPr="00CF10FB" w:rsidP="00CF10FB">
      <w:pPr>
        <w:pStyle w:val="ListBullet2"/>
      </w:pPr>
      <w:r w:rsidRPr="00CF10FB">
        <w:t>a workplace or an e</w:t>
      </w:r>
      <w:r w:rsidRPr="00CF10FB">
        <w:t>nvironment that accurately represents workplace conditions</w:t>
      </w:r>
    </w:p>
    <w:p w:rsidR="00000000" w:rsidRPr="00CF10FB" w:rsidP="00CF10FB">
      <w:pPr>
        <w:pStyle w:val="ListBullet"/>
      </w:pPr>
      <w:r w:rsidRPr="00CF10FB">
        <w:t>resources, equipment and materials:</w:t>
      </w:r>
    </w:p>
    <w:p w:rsidR="00000000" w:rsidRPr="00CF10FB" w:rsidP="00CF10FB">
      <w:pPr>
        <w:pStyle w:val="ListBullet2"/>
      </w:pPr>
      <w:r w:rsidRPr="00CF10FB">
        <w:t>production equipment appropriate to product type</w:t>
      </w:r>
    </w:p>
    <w:p w:rsidR="00000000" w:rsidRPr="00CF10FB" w:rsidP="00CF10FB">
      <w:pPr>
        <w:pStyle w:val="ListBullet2"/>
      </w:pPr>
      <w:r w:rsidRPr="00CF10FB">
        <w:t>materials/ingredients to meet recipe requirements</w:t>
      </w:r>
    </w:p>
    <w:p w:rsidR="00000000" w:rsidRPr="00CF10FB" w:rsidP="00CF10FB">
      <w:pPr>
        <w:pStyle w:val="ListBullet2"/>
      </w:pPr>
      <w:r w:rsidRPr="00CF10FB">
        <w:t>ingredient pricing information</w:t>
      </w:r>
    </w:p>
    <w:p w:rsidR="00000000" w:rsidRPr="00CF10FB" w:rsidP="00CF10FB">
      <w:pPr>
        <w:pStyle w:val="ListBullet2"/>
      </w:pPr>
      <w:r w:rsidRPr="00CF10FB">
        <w:t>personal protective clothing,</w:t>
      </w:r>
      <w:r w:rsidRPr="00CF10FB">
        <w:t xml:space="preserve"> equipment and material safety data sheets (MSDS)</w:t>
      </w:r>
    </w:p>
    <w:p w:rsidR="00000000" w:rsidRPr="00CF10FB" w:rsidP="00CF10FB">
      <w:pPr>
        <w:pStyle w:val="ListBullet2"/>
      </w:pPr>
      <w:r w:rsidRPr="00CF10FB">
        <w:t>cleaning procedures, materials and equipment</w:t>
      </w:r>
    </w:p>
    <w:p w:rsidR="00000000" w:rsidRPr="00CF10FB" w:rsidP="00CF10FB">
      <w:pPr>
        <w:pStyle w:val="ListBullet"/>
      </w:pPr>
      <w:r w:rsidRPr="00CF10FB">
        <w:t>specifications:</w:t>
      </w:r>
    </w:p>
    <w:p w:rsidR="00000000" w:rsidRPr="00CF10FB" w:rsidP="00CF10FB">
      <w:pPr>
        <w:pStyle w:val="ListBullet2"/>
      </w:pPr>
      <w:r w:rsidRPr="00CF10FB">
        <w:t>work procedures, including advice on relevant product requirements, safe work practices, food safety, quality and environmental requirements</w:t>
      </w:r>
    </w:p>
    <w:p w:rsidR="00000000" w:rsidRPr="00CF10FB" w:rsidP="00CF10FB">
      <w:pPr>
        <w:pStyle w:val="ListBullet2"/>
      </w:pPr>
      <w:r w:rsidRPr="00CF10FB">
        <w:t>re</w:t>
      </w:r>
      <w:r w:rsidRPr="00CF10FB">
        <w:t>cipes and customer specifications.</w:t>
      </w:r>
    </w:p>
    <w:p w:rsidR="00000000" w:rsidRPr="00CF10FB" w:rsidP="00CF10FB">
      <w:pPr>
        <w:pStyle w:val="BodyText"/>
      </w:pPr>
    </w:p>
    <w:p w:rsidR="00000000" w:rsidRPr="00CF10FB" w:rsidP="00EC2BB4">
      <w:pPr>
        <w:pStyle w:val="BodyText"/>
      </w:pPr>
      <w:r w:rsidRPr="00CF10FB">
        <w:t>Assessors of this unit must satisfy the requirements for assessors in applicable vocational education and training legislation, frameworks and/or standards.</w:t>
      </w:r>
    </w:p>
    <w:p w:rsidR="00000000" w:rsidRPr="00CF10FB" w:rsidP="00CF10FB">
      <w:pPr>
        <w:pStyle w:val="Heading1"/>
      </w:pPr>
      <w:bookmarkStart w:id="5" w:name="O_970002"/>
      <w:bookmarkEnd w:id="5"/>
      <w:r w:rsidRPr="00CF10FB">
        <w:t>Links</w:t>
      </w:r>
    </w:p>
    <w:p w:rsidR="00000000" w:rsidRPr="00CF10FB" w:rsidP="00EC2BB4">
      <w:pPr>
        <w:pStyle w:val="BodyText"/>
      </w:pPr>
      <w:r w:rsidRPr="00CF10F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269E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F10FB" w:rsidP="00CF10FB"/>
    <w:sectPr w:rsidSect="00CF10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0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0FB" w:rsidRPr="00EC2BB4" w:rsidP="00EC2B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0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BB4" w:rsidP="00CF10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2BB4" w:rsidP="00CF10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C2BB4" w:rsidP="00CF10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0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B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10FB" w:rsidRPr="00EC2BB4" w:rsidP="00EC2B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0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BB4" w:rsidRPr="002D2AF8" w:rsidP="00CF10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FBPOPR3003 Identify cultural, religious and dietary considerations for food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C2BB4" w:rsidP="00CF10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786D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803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C415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0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10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10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10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10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10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10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10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10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10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10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10FB"/>
  </w:style>
  <w:style w:type="character" w:customStyle="1" w:styleId="Heading1Char">
    <w:name w:val="Heading 1 Char"/>
    <w:basedOn w:val="DefaultParagraphFont"/>
    <w:link w:val="Heading1"/>
    <w:rsid w:val="00CF10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10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10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10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10FB"/>
    <w:rPr>
      <w:b/>
      <w:spacing w:val="0"/>
    </w:rPr>
  </w:style>
  <w:style w:type="paragraph" w:styleId="ListBullet2">
    <w:name w:val="List Bullet 2"/>
    <w:basedOn w:val="List2"/>
    <w:rsid w:val="00CF10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10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10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10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10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10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1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1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1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1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10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10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10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10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10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10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10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10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10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10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10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10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10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10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10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10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10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10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10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10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10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10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10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10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10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10FB"/>
    <w:rPr>
      <w:i/>
    </w:rPr>
  </w:style>
  <w:style w:type="paragraph" w:styleId="Caption">
    <w:name w:val="caption"/>
    <w:basedOn w:val="BodyText"/>
    <w:next w:val="Normal"/>
    <w:qFormat/>
    <w:rsid w:val="00CF10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10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10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10FB"/>
  </w:style>
  <w:style w:type="paragraph" w:styleId="TableofFigures">
    <w:name w:val="table of figures"/>
    <w:basedOn w:val="Normal"/>
    <w:next w:val="Normal"/>
    <w:semiHidden/>
    <w:rsid w:val="00CF10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10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10FB"/>
    <w:rPr>
      <w:rFonts w:ascii="Wingdings" w:hAnsi="Wingdings"/>
    </w:rPr>
  </w:style>
  <w:style w:type="paragraph" w:customStyle="1" w:styleId="TableHeading">
    <w:name w:val="Table Heading"/>
    <w:basedOn w:val="HeadingBase"/>
    <w:rsid w:val="00CF10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10FB"/>
    <w:rPr>
      <w:color w:val="0033CC"/>
      <w:u w:val="none"/>
    </w:rPr>
  </w:style>
  <w:style w:type="paragraph" w:customStyle="1" w:styleId="BodyTextRight">
    <w:name w:val="Body Text Right"/>
    <w:basedOn w:val="BodyText"/>
    <w:rsid w:val="00CF10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10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10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10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10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10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10FB"/>
    <w:rPr>
      <w:sz w:val="32"/>
    </w:rPr>
  </w:style>
  <w:style w:type="paragraph" w:customStyle="1" w:styleId="HeadingProcedure">
    <w:name w:val="Heading Procedure"/>
    <w:basedOn w:val="HeadingBase"/>
    <w:next w:val="Normal"/>
    <w:rsid w:val="00CF10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10FB"/>
    <w:pPr>
      <w:spacing w:before="60" w:after="60"/>
    </w:pPr>
  </w:style>
  <w:style w:type="paragraph" w:styleId="ListContinue">
    <w:name w:val="List Continue"/>
    <w:basedOn w:val="List"/>
    <w:rsid w:val="00CF10FB"/>
    <w:pPr>
      <w:ind w:firstLine="0"/>
    </w:pPr>
  </w:style>
  <w:style w:type="paragraph" w:customStyle="1" w:styleId="ListNote">
    <w:name w:val="List Note"/>
    <w:basedOn w:val="List"/>
    <w:rsid w:val="00CF10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10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10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10FB"/>
    <w:rPr>
      <w:rFonts w:ascii="Courier New" w:hAnsi="Courier New"/>
    </w:rPr>
  </w:style>
  <w:style w:type="paragraph" w:customStyle="1" w:styleId="NoteBullet">
    <w:name w:val="Note Bullet"/>
    <w:basedOn w:val="Note"/>
    <w:rsid w:val="00CF10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10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10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10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10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10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10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10FB"/>
    <w:rPr>
      <w:b/>
      <w:smallCaps/>
    </w:rPr>
  </w:style>
  <w:style w:type="paragraph" w:customStyle="1" w:styleId="TableListNumber">
    <w:name w:val="Table List Number"/>
    <w:basedOn w:val="ListNumber"/>
    <w:rsid w:val="00CF10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10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10FB"/>
    <w:pPr>
      <w:numPr>
        <w:numId w:val="9"/>
      </w:numPr>
    </w:pPr>
  </w:style>
  <w:style w:type="paragraph" w:customStyle="1" w:styleId="ListAlpha2">
    <w:name w:val="List Alpha 2"/>
    <w:basedOn w:val="List2"/>
    <w:rsid w:val="00CF10FB"/>
    <w:pPr>
      <w:numPr>
        <w:numId w:val="8"/>
      </w:numPr>
    </w:pPr>
  </w:style>
  <w:style w:type="paragraph" w:styleId="List2">
    <w:name w:val="List 2"/>
    <w:basedOn w:val="BodyText"/>
    <w:rsid w:val="00CF10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10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10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10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10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10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10FB"/>
    <w:pPr>
      <w:numPr>
        <w:numId w:val="4"/>
      </w:numPr>
    </w:pPr>
  </w:style>
  <w:style w:type="paragraph" w:styleId="ListContinue2">
    <w:name w:val="List Continue 2"/>
    <w:basedOn w:val="List2"/>
    <w:rsid w:val="00CF10FB"/>
    <w:pPr>
      <w:ind w:firstLine="0"/>
    </w:pPr>
  </w:style>
  <w:style w:type="paragraph" w:styleId="ListContinue3">
    <w:name w:val="List Continue 3"/>
    <w:basedOn w:val="List3"/>
    <w:rsid w:val="00CF10FB"/>
    <w:pPr>
      <w:ind w:left="1021" w:firstLine="0"/>
    </w:pPr>
  </w:style>
  <w:style w:type="paragraph" w:styleId="ListContinue4">
    <w:name w:val="List Continue 4"/>
    <w:basedOn w:val="List4"/>
    <w:rsid w:val="00CF10FB"/>
    <w:pPr>
      <w:ind w:firstLine="0"/>
    </w:pPr>
  </w:style>
  <w:style w:type="paragraph" w:styleId="ListContinue5">
    <w:name w:val="List Continue 5"/>
    <w:basedOn w:val="List5"/>
    <w:rsid w:val="00CF10FB"/>
    <w:pPr>
      <w:ind w:firstLine="0"/>
    </w:pPr>
  </w:style>
  <w:style w:type="paragraph" w:styleId="ListNumber3">
    <w:name w:val="List Number 3"/>
    <w:basedOn w:val="List3"/>
    <w:rsid w:val="00CF10FB"/>
    <w:pPr>
      <w:numPr>
        <w:numId w:val="5"/>
      </w:numPr>
    </w:pPr>
  </w:style>
  <w:style w:type="paragraph" w:styleId="ListNumber4">
    <w:name w:val="List Number 4"/>
    <w:basedOn w:val="List4"/>
    <w:rsid w:val="00CF10FB"/>
    <w:pPr>
      <w:numPr>
        <w:numId w:val="6"/>
      </w:numPr>
    </w:pPr>
  </w:style>
  <w:style w:type="paragraph" w:styleId="ListNumber5">
    <w:name w:val="List Number 5"/>
    <w:basedOn w:val="List5"/>
    <w:rsid w:val="00CF10FB"/>
    <w:pPr>
      <w:numPr>
        <w:numId w:val="7"/>
      </w:numPr>
    </w:pPr>
  </w:style>
  <w:style w:type="paragraph" w:styleId="BlockText">
    <w:name w:val="Block Text"/>
    <w:basedOn w:val="Normal"/>
    <w:rsid w:val="00CF10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10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10FB"/>
    <w:rPr>
      <w:sz w:val="16"/>
      <w:vertAlign w:val="superscript"/>
    </w:rPr>
  </w:style>
  <w:style w:type="character" w:customStyle="1" w:styleId="Symbols">
    <w:name w:val="Symbols"/>
    <w:basedOn w:val="DefaultParagraphFont"/>
    <w:rsid w:val="00CF10FB"/>
    <w:rPr>
      <w:rFonts w:ascii="Symbol" w:hAnsi="Symbol"/>
    </w:rPr>
  </w:style>
  <w:style w:type="character" w:customStyle="1" w:styleId="MenuOptions">
    <w:name w:val="Menu Options"/>
    <w:basedOn w:val="DefaultParagraphFont"/>
    <w:rsid w:val="00CF10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10FB"/>
    <w:rPr>
      <w:b/>
    </w:rPr>
  </w:style>
  <w:style w:type="character" w:customStyle="1" w:styleId="Underlined">
    <w:name w:val="Underlined"/>
    <w:basedOn w:val="DefaultParagraphFont"/>
    <w:rsid w:val="00CF10FB"/>
    <w:rPr>
      <w:u w:val="single"/>
    </w:rPr>
  </w:style>
  <w:style w:type="paragraph" w:customStyle="1" w:styleId="TableBodyTextRight">
    <w:name w:val="Table Body Text Right"/>
    <w:basedOn w:val="TableBodyText"/>
    <w:rsid w:val="00CF10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10FB"/>
    <w:rPr>
      <w:sz w:val="18"/>
    </w:rPr>
  </w:style>
  <w:style w:type="paragraph" w:customStyle="1" w:styleId="BodySmallRight">
    <w:name w:val="Body Small Right"/>
    <w:basedOn w:val="BodyTextRight"/>
    <w:rsid w:val="00CF10FB"/>
    <w:rPr>
      <w:sz w:val="18"/>
      <w:szCs w:val="18"/>
    </w:rPr>
  </w:style>
  <w:style w:type="paragraph" w:customStyle="1" w:styleId="MarginEdition">
    <w:name w:val="Margin Edition"/>
    <w:basedOn w:val="MarginNote"/>
    <w:rsid w:val="00CF10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10FB"/>
    <w:rPr>
      <w:sz w:val="2"/>
      <w:szCs w:val="2"/>
    </w:rPr>
  </w:style>
  <w:style w:type="character" w:customStyle="1" w:styleId="Small">
    <w:name w:val="Small"/>
    <w:basedOn w:val="DefaultParagraphFont"/>
    <w:rsid w:val="00CF10FB"/>
    <w:rPr>
      <w:sz w:val="16"/>
    </w:rPr>
  </w:style>
  <w:style w:type="paragraph" w:customStyle="1" w:styleId="WideTable">
    <w:name w:val="Wide Table"/>
    <w:basedOn w:val="Normal"/>
    <w:rsid w:val="00CF10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10FB"/>
  </w:style>
  <w:style w:type="paragraph" w:styleId="Quote">
    <w:name w:val="Quote"/>
    <w:basedOn w:val="Heading1"/>
    <w:link w:val="QuoteChar"/>
    <w:qFormat/>
    <w:rsid w:val="00CF10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10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10FB"/>
    <w:pPr>
      <w:pageBreakBefore/>
    </w:pPr>
  </w:style>
  <w:style w:type="paragraph" w:customStyle="1" w:styleId="Border">
    <w:name w:val="Border"/>
    <w:basedOn w:val="Normal"/>
    <w:qFormat/>
    <w:rsid w:val="00CF10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10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0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0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10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10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10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10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10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10FB"/>
    <w:rPr>
      <w:u w:val="single"/>
    </w:rPr>
  </w:style>
  <w:style w:type="character" w:customStyle="1" w:styleId="BoldandItalics">
    <w:name w:val="Bold and Italics"/>
    <w:qFormat/>
    <w:rsid w:val="00CF10FB"/>
    <w:rPr>
      <w:b/>
      <w:i/>
      <w:u w:val="none"/>
    </w:rPr>
  </w:style>
  <w:style w:type="paragraph" w:styleId="BalloonText">
    <w:name w:val="Balloon Text"/>
    <w:basedOn w:val="Normal"/>
    <w:link w:val="BalloonTextChar"/>
    <w:rsid w:val="00CF10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10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10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10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10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10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10FB"/>
    <w:pPr>
      <w:spacing w:before="0" w:after="0"/>
    </w:pPr>
  </w:style>
  <w:style w:type="paragraph" w:customStyle="1" w:styleId="BodyTextBold">
    <w:name w:val="Body Text Bold"/>
    <w:basedOn w:val="BodyText"/>
    <w:qFormat/>
    <w:rsid w:val="00CF10FB"/>
    <w:rPr>
      <w:b/>
    </w:rPr>
  </w:style>
  <w:style w:type="character" w:styleId="Hyperlink">
    <w:name w:val="Hyperlink"/>
    <w:basedOn w:val="DefaultParagraphFont"/>
    <w:uiPriority w:val="99"/>
    <w:unhideWhenUsed/>
    <w:rsid w:val="00EC2B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425</Words>
  <Characters>3071</Characters>
  <Application>Microsoft Office Word</Application>
  <DocSecurity>0</DocSecurity>
  <Lines>87</Lines>
  <Paragraphs>69</Paragraphs>
  <ScaleCrop>false</ScaleCrop>
  <Company>Author-it Software Corporation Ltd.</Company>
  <LinksUpToDate>false</LinksUpToDate>
  <CharactersWithSpaces>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FBPOPR3003 Identify cultural, religious and dietary considerations for food production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2025-02-21T07:01:00Z</dcterms:created>
  <dcterms:modified xsi:type="dcterms:W3CDTF">2025-02-21T07:01:00Z</dcterms:modified>
</cp:coreProperties>
</file>