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66E" w:rsidP="005D3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FBPOPR2092 Operate a continuous freezing process</w:t>
      </w:r>
      <w:r>
        <w:fldChar w:fldCharType="end"/>
      </w:r>
    </w:p>
    <w:p w:rsidR="005D366E" w:rsidP="005D366E">
      <w:pPr>
        <w:pStyle w:val="Version"/>
        <w:sectPr w:rsidSect="00C32E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EA0" w:rsidP="00C32EA0">
      <w:pPr>
        <w:pStyle w:val="SuperHeading"/>
      </w:pPr>
      <w:r w:rsidRPr="00C32EA0">
        <w:t>Assessment Requirements for FBPOPR2092 Operate a continuous freezing process</w:t>
      </w:r>
    </w:p>
    <w:p w:rsidR="00000000" w:rsidRPr="00C32EA0" w:rsidP="00C32EA0">
      <w:pPr>
        <w:pStyle w:val="Heading1"/>
      </w:pPr>
      <w:bookmarkStart w:id="1" w:name="O_1184584"/>
      <w:bookmarkEnd w:id="1"/>
      <w:r w:rsidRPr="00C32E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2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A0">
            <w:pPr>
              <w:pStyle w:val="BodyTextBold"/>
              <w:rPr>
                <w:lang w:val="en-NZ"/>
              </w:rPr>
            </w:pPr>
            <w:r w:rsidRPr="00C32EA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A0">
            <w:pPr>
              <w:pStyle w:val="BodyTextBold"/>
              <w:rPr>
                <w:lang w:val="en-NZ"/>
              </w:rPr>
            </w:pPr>
            <w:r w:rsidRPr="00C32EA0">
              <w:t>Comments</w:t>
            </w:r>
          </w:p>
        </w:tc>
      </w:tr>
      <w:tr w:rsidTr="00C32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A0">
            <w:pPr>
              <w:pStyle w:val="BodyText"/>
              <w:rPr>
                <w:lang w:val="en-NZ"/>
              </w:rPr>
            </w:pPr>
            <w:r w:rsidRPr="00C32E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A0" w:rsidP="00C32EA0">
            <w:pPr>
              <w:pStyle w:val="BodyText"/>
            </w:pPr>
            <w:r w:rsidRPr="00C32EA0">
              <w:t>This version released with FBP Food, Beverage and Pharmaceutical Training Package Version 6.0.</w:t>
            </w:r>
          </w:p>
        </w:tc>
      </w:tr>
    </w:tbl>
    <w:p w:rsidR="00000000" w:rsidRPr="00C32EA0" w:rsidP="00C32EA0">
      <w:pPr>
        <w:pStyle w:val="BodyText"/>
      </w:pPr>
    </w:p>
    <w:p w:rsidR="00000000" w:rsidRPr="00C32EA0" w:rsidP="00C32EA0">
      <w:pPr>
        <w:pStyle w:val="AllowPageBreak"/>
      </w:pPr>
    </w:p>
    <w:p w:rsidR="00000000" w:rsidRPr="00C32EA0" w:rsidP="00C32EA0">
      <w:pPr>
        <w:pStyle w:val="Heading1"/>
      </w:pPr>
      <w:bookmarkStart w:id="2" w:name="O_1184585"/>
      <w:bookmarkEnd w:id="2"/>
      <w:r w:rsidRPr="00C32EA0">
        <w:t>Performance Evidence</w:t>
      </w:r>
    </w:p>
    <w:p w:rsidR="00000000" w:rsidRPr="00C32EA0" w:rsidP="005D366E">
      <w:pPr>
        <w:pStyle w:val="BodyText"/>
      </w:pPr>
      <w:r w:rsidRPr="00C32EA0">
        <w:t>An individual demonstrating competency must satisfy all of the elements and performance criteria in this unit.</w:t>
      </w:r>
    </w:p>
    <w:p w:rsidR="00000000" w:rsidRPr="00C32EA0" w:rsidP="005D366E">
      <w:pPr>
        <w:pStyle w:val="BodyText"/>
      </w:pPr>
      <w:r w:rsidRPr="00C32EA0">
        <w:t xml:space="preserve">There must be evidence that the individual has operated a continuous freezing process to freeze at least one batch </w:t>
      </w:r>
      <w:r w:rsidRPr="00C32EA0">
        <w:t>of product to meet specifications, including:</w:t>
      </w:r>
    </w:p>
    <w:p w:rsidR="00000000" w:rsidRPr="00C32EA0" w:rsidP="00C32EA0">
      <w:pPr>
        <w:pStyle w:val="ListBullet"/>
      </w:pPr>
      <w:r w:rsidRPr="00C32EA0">
        <w:t>applying safe work procedures</w:t>
      </w:r>
    </w:p>
    <w:p w:rsidR="00000000" w:rsidRPr="00C32EA0" w:rsidP="00C32EA0">
      <w:pPr>
        <w:pStyle w:val="ListBullet"/>
      </w:pPr>
      <w:r w:rsidRPr="00C32EA0">
        <w:t>following food safety practices</w:t>
      </w:r>
    </w:p>
    <w:p w:rsidR="00000000" w:rsidRPr="00C32EA0" w:rsidP="00C32EA0">
      <w:pPr>
        <w:pStyle w:val="ListBullet"/>
      </w:pPr>
      <w:r w:rsidRPr="00C32EA0">
        <w:t>monitoring control points and conducting inspections to confirm process remains within specification, including:</w:t>
      </w:r>
    </w:p>
    <w:p w:rsidR="00000000" w:rsidRPr="00C32EA0" w:rsidP="00C32EA0">
      <w:pPr>
        <w:pStyle w:val="ListBullet2"/>
      </w:pPr>
      <w:r w:rsidRPr="00C32EA0">
        <w:t>flow rates</w:t>
      </w:r>
    </w:p>
    <w:p w:rsidR="00000000" w:rsidRPr="00C32EA0" w:rsidP="00C32EA0">
      <w:pPr>
        <w:pStyle w:val="ListBullet2"/>
      </w:pPr>
      <w:r w:rsidRPr="00C32EA0">
        <w:t>churn speed</w:t>
      </w:r>
    </w:p>
    <w:p w:rsidR="00000000" w:rsidRPr="00C32EA0" w:rsidP="00C32EA0">
      <w:pPr>
        <w:pStyle w:val="ListBullet2"/>
      </w:pPr>
      <w:r w:rsidRPr="00C32EA0">
        <w:t>time/temperature</w:t>
      </w:r>
    </w:p>
    <w:p w:rsidR="00000000" w:rsidRPr="00C32EA0" w:rsidP="00C32EA0">
      <w:pPr>
        <w:pStyle w:val="ListBullet2"/>
      </w:pPr>
      <w:r w:rsidRPr="00C32EA0">
        <w:t>ingredient addition systems</w:t>
      </w:r>
    </w:p>
    <w:p w:rsidR="00000000" w:rsidRPr="00C32EA0" w:rsidP="00C32EA0">
      <w:pPr>
        <w:pStyle w:val="ListBullet2"/>
      </w:pPr>
      <w:r w:rsidRPr="00C32EA0">
        <w:t>pressures</w:t>
      </w:r>
    </w:p>
    <w:p w:rsidR="00000000" w:rsidRPr="00C32EA0" w:rsidP="00C32EA0">
      <w:pPr>
        <w:pStyle w:val="ListBullet2"/>
      </w:pPr>
      <w:r w:rsidRPr="00C32EA0">
        <w:t>equipment condition and performance</w:t>
      </w:r>
    </w:p>
    <w:p w:rsidR="00000000" w:rsidRPr="00C32EA0" w:rsidP="00C32EA0">
      <w:pPr>
        <w:pStyle w:val="ListBullet"/>
      </w:pPr>
      <w:r w:rsidRPr="00C32EA0">
        <w:t>addressing routine processing issues.</w:t>
      </w:r>
    </w:p>
    <w:p w:rsidR="00000000" w:rsidRPr="00C32EA0" w:rsidP="00C32EA0">
      <w:pPr>
        <w:pStyle w:val="AllowPageBreak"/>
      </w:pPr>
    </w:p>
    <w:p w:rsidR="00000000" w:rsidRPr="00C32EA0" w:rsidP="00C32EA0">
      <w:pPr>
        <w:pStyle w:val="Heading1"/>
      </w:pPr>
      <w:bookmarkStart w:id="3" w:name="O_1184586"/>
      <w:bookmarkEnd w:id="3"/>
      <w:r w:rsidRPr="00C32EA0">
        <w:t>Knowledge Evidence</w:t>
      </w:r>
    </w:p>
    <w:p w:rsidR="00000000" w:rsidRPr="00C32EA0" w:rsidP="005D366E">
      <w:pPr>
        <w:pStyle w:val="BodyText"/>
      </w:pPr>
      <w:r w:rsidRPr="00C32EA0">
        <w:t>An individual must be able to demonstrate the knowledge required to perform the tasks ou</w:t>
      </w:r>
      <w:r w:rsidRPr="00C32EA0">
        <w:t>tlined in the elements and performance criteria of this unit. This includes knowledge of:</w:t>
      </w:r>
    </w:p>
    <w:p w:rsidR="00000000" w:rsidRPr="00C32EA0" w:rsidP="00C32EA0">
      <w:pPr>
        <w:pStyle w:val="ListBullet"/>
      </w:pPr>
      <w:r w:rsidRPr="00C32EA0">
        <w:t xml:space="preserve">purpose and basic principles of the continuous freezing process, including the stages that occur during the churning and freezing process, and the required physical </w:t>
      </w:r>
      <w:r w:rsidRPr="00C32EA0">
        <w:t>and microstructure of the product</w:t>
      </w:r>
    </w:p>
    <w:p w:rsidR="00000000" w:rsidRPr="00C32EA0" w:rsidP="00C32EA0">
      <w:pPr>
        <w:pStyle w:val="ListBullet"/>
      </w:pPr>
      <w:r w:rsidRPr="00C32EA0">
        <w:t>basic operating principles of equipment required to operate a continuous freezing process, including:</w:t>
      </w:r>
    </w:p>
    <w:p w:rsidR="00000000" w:rsidRPr="00C32EA0" w:rsidP="00C32EA0">
      <w:pPr>
        <w:pStyle w:val="ListBullet2"/>
      </w:pPr>
      <w:r w:rsidRPr="00C32EA0">
        <w:t>main equipment components</w:t>
      </w:r>
    </w:p>
    <w:p w:rsidR="00000000" w:rsidRPr="00C32EA0" w:rsidP="00C32EA0">
      <w:pPr>
        <w:pStyle w:val="ListBullet2"/>
      </w:pPr>
      <w:r w:rsidRPr="00C32EA0">
        <w:t>status and purpose of guards</w:t>
      </w:r>
    </w:p>
    <w:p w:rsidR="00000000" w:rsidRPr="00C32EA0" w:rsidP="00C32EA0">
      <w:pPr>
        <w:pStyle w:val="ListBullet2"/>
      </w:pPr>
      <w:r w:rsidRPr="00C32EA0">
        <w:t>equipment operating capacities and applications</w:t>
      </w:r>
    </w:p>
    <w:p w:rsidR="00000000" w:rsidRPr="00C32EA0" w:rsidP="00C32EA0">
      <w:pPr>
        <w:pStyle w:val="ListBullet2"/>
      </w:pPr>
      <w:r w:rsidRPr="00C32EA0">
        <w:t>purpose and location of sensors and related feedback instrumentation</w:t>
      </w:r>
    </w:p>
    <w:p w:rsidR="00000000" w:rsidRPr="00C32EA0" w:rsidP="00C32EA0">
      <w:pPr>
        <w:pStyle w:val="ListBullet"/>
      </w:pPr>
      <w:r w:rsidRPr="00C32EA0">
        <w:t>services required to operate a continuous freezing process, and action to take if services are not available</w:t>
      </w:r>
    </w:p>
    <w:p w:rsidR="00000000" w:rsidRPr="00C32EA0" w:rsidP="00C32EA0">
      <w:pPr>
        <w:pStyle w:val="ListBullet"/>
      </w:pPr>
      <w:r w:rsidRPr="00C32EA0">
        <w:t>the flow of the freezing process and the effect of outputs on downstream proc</w:t>
      </w:r>
      <w:r w:rsidRPr="00C32EA0">
        <w:t>esses</w:t>
      </w:r>
    </w:p>
    <w:p w:rsidR="00000000" w:rsidRPr="00C32EA0" w:rsidP="00C32EA0">
      <w:pPr>
        <w:pStyle w:val="ListBullet"/>
      </w:pPr>
      <w:r w:rsidRPr="00C32EA0">
        <w:t>additives and ingredients used in the continuous freezing process, and their role in the product</w:t>
      </w:r>
    </w:p>
    <w:p w:rsidR="00000000" w:rsidRPr="00C32EA0" w:rsidP="00C32EA0">
      <w:pPr>
        <w:pStyle w:val="ListBullet"/>
      </w:pPr>
      <w:r w:rsidRPr="00C32EA0">
        <w:t>quality characteristics to be achieved by the freezing process</w:t>
      </w:r>
    </w:p>
    <w:p w:rsidR="00000000" w:rsidRPr="00C32EA0" w:rsidP="00C32EA0">
      <w:pPr>
        <w:pStyle w:val="ListBullet"/>
      </w:pPr>
      <w:r w:rsidRPr="00C32EA0">
        <w:t>quality requirements of materials/ingredients, and effect of variation on process performa</w:t>
      </w:r>
      <w:r w:rsidRPr="00C32EA0">
        <w:t>nce</w:t>
      </w:r>
    </w:p>
    <w:p w:rsidR="00000000" w:rsidRPr="00C32EA0" w:rsidP="00C32EA0">
      <w:pPr>
        <w:pStyle w:val="ListBullet"/>
      </w:pPr>
      <w:r w:rsidRPr="00C32EA0">
        <w:t>operating requirements and parameters, and corrective action required where operation of the continuous freezing process is outside specified operating parameters</w:t>
      </w:r>
    </w:p>
    <w:p w:rsidR="00000000" w:rsidRPr="00C32EA0" w:rsidP="00C32EA0">
      <w:pPr>
        <w:pStyle w:val="ListBullet"/>
      </w:pPr>
      <w:r w:rsidRPr="00C32EA0">
        <w:t>typical equipment faults and related causes, including signs and symptoms of faulty equip</w:t>
      </w:r>
      <w:r w:rsidRPr="00C32EA0">
        <w:t>ment, and early warning signs of potential problems</w:t>
      </w:r>
    </w:p>
    <w:p w:rsidR="00000000" w:rsidRPr="00C32EA0" w:rsidP="00C32EA0">
      <w:pPr>
        <w:pStyle w:val="ListBullet"/>
      </w:pPr>
      <w:r w:rsidRPr="00C32EA0">
        <w:t>methods used to monitor the production process, including inspecting, measuring and testing by the process</w:t>
      </w:r>
    </w:p>
    <w:p w:rsidR="00000000" w:rsidRPr="00C32EA0" w:rsidP="00C32EA0">
      <w:pPr>
        <w:pStyle w:val="ListBullet"/>
      </w:pPr>
      <w:r w:rsidRPr="00C32EA0">
        <w:t>inspection or test points (control points) in the continuous freezing process operation and the r</w:t>
      </w:r>
      <w:r w:rsidRPr="00C32EA0">
        <w:t>elated procedures and recording requirements</w:t>
      </w:r>
    </w:p>
    <w:p w:rsidR="00000000" w:rsidRPr="00C32EA0" w:rsidP="00C32EA0">
      <w:pPr>
        <w:pStyle w:val="ListBullet"/>
      </w:pPr>
      <w:r w:rsidRPr="00C32EA0">
        <w:t>contamination/cross-contamination and food safety risks associated with the continuous freezing process, and related control measures</w:t>
      </w:r>
    </w:p>
    <w:p w:rsidR="00000000" w:rsidRPr="00C32EA0" w:rsidP="00C32EA0">
      <w:pPr>
        <w:pStyle w:val="ListBullet"/>
      </w:pPr>
      <w:r w:rsidRPr="00C32EA0">
        <w:t>common causes of variation in the operation of a continuous freezing process,</w:t>
      </w:r>
      <w:r w:rsidRPr="00C32EA0">
        <w:t xml:space="preserve"> and corrective action required</w:t>
      </w:r>
    </w:p>
    <w:p w:rsidR="00000000" w:rsidRPr="00C32EA0" w:rsidP="00C32EA0">
      <w:pPr>
        <w:pStyle w:val="ListBullet"/>
      </w:pPr>
      <w:r w:rsidRPr="00C32EA0">
        <w:t>health and safety hazards and controls relevant to the operation of a continuous freezing process, including the limitations of protective clothing and equipment relevant to the work process</w:t>
      </w:r>
    </w:p>
    <w:p w:rsidR="00000000" w:rsidRPr="00C32EA0" w:rsidP="00C32EA0">
      <w:pPr>
        <w:pStyle w:val="ListBullet"/>
      </w:pPr>
      <w:r w:rsidRPr="00C32EA0">
        <w:t>requirements of different shutdowns as appropriate to the continuous freezing process and workplace production requirements, including emergency and routine shutdowns and procedures to follow in the event of a power outage</w:t>
      </w:r>
    </w:p>
    <w:p w:rsidR="00000000" w:rsidRPr="00C32EA0" w:rsidP="00C32EA0">
      <w:pPr>
        <w:pStyle w:val="ListBullet"/>
      </w:pPr>
      <w:r w:rsidRPr="00C32EA0">
        <w:t>isolation, lock-out and tag-out p</w:t>
      </w:r>
      <w:r w:rsidRPr="00C32EA0">
        <w:t>rocedures and responsibilities required for the operation of a continuous freezing process</w:t>
      </w:r>
    </w:p>
    <w:p w:rsidR="00000000" w:rsidRPr="00C32EA0" w:rsidP="00C32EA0">
      <w:pPr>
        <w:pStyle w:val="ListBullet"/>
      </w:pPr>
      <w:r w:rsidRPr="00C32EA0">
        <w:t>procedures and responsibility for reporting production and performance information of the continuous freezing process</w:t>
      </w:r>
    </w:p>
    <w:p w:rsidR="00000000" w:rsidRPr="00C32EA0" w:rsidP="00C32EA0">
      <w:pPr>
        <w:pStyle w:val="ListBullet"/>
      </w:pPr>
      <w:r w:rsidRPr="00C32EA0">
        <w:t>environmental issues and controls relevant to t</w:t>
      </w:r>
      <w:r w:rsidRPr="00C32EA0">
        <w:t>he continuous freezing process, including waste/rework collection and handling procedures related to the process</w:t>
      </w:r>
    </w:p>
    <w:p w:rsidR="00000000" w:rsidRPr="00C32EA0" w:rsidP="00C32EA0">
      <w:pPr>
        <w:pStyle w:val="ListBullet"/>
      </w:pPr>
      <w:r w:rsidRPr="00C32EA0">
        <w:t>basic operating principles of continuous freezing process control, including the relationship between control panels and systems and the physic</w:t>
      </w:r>
      <w:r w:rsidRPr="00C32EA0">
        <w:t>al equipment</w:t>
      </w:r>
    </w:p>
    <w:p w:rsidR="00000000" w:rsidRPr="00C32EA0" w:rsidP="00C32EA0">
      <w:pPr>
        <w:pStyle w:val="ListBullet"/>
      </w:pPr>
      <w:r w:rsidRPr="00C32EA0">
        <w:t>cleaning procedures required for the continuous freezing equipment</w:t>
      </w:r>
    </w:p>
    <w:p w:rsidR="00000000" w:rsidRPr="00C32EA0" w:rsidP="00C32EA0">
      <w:pPr>
        <w:pStyle w:val="ListBullet"/>
      </w:pPr>
      <w:r w:rsidRPr="00C32EA0">
        <w:t>recording procedures to ensure traceability.</w:t>
      </w:r>
    </w:p>
    <w:p w:rsidR="00000000" w:rsidRPr="00C32EA0" w:rsidP="00C32EA0">
      <w:pPr>
        <w:pStyle w:val="AllowPageBreak"/>
      </w:pPr>
    </w:p>
    <w:p w:rsidR="00000000" w:rsidRPr="00C32EA0" w:rsidP="00C32EA0">
      <w:pPr>
        <w:pStyle w:val="Heading1"/>
      </w:pPr>
      <w:bookmarkStart w:id="4" w:name="O_1184587"/>
      <w:bookmarkEnd w:id="4"/>
      <w:r w:rsidRPr="00C32EA0">
        <w:t>Assessment Conditions</w:t>
      </w:r>
    </w:p>
    <w:p w:rsidR="00000000" w:rsidRPr="00C32EA0" w:rsidP="005D366E">
      <w:pPr>
        <w:pStyle w:val="BodyText"/>
      </w:pPr>
      <w:r w:rsidRPr="00C32EA0">
        <w:t>Assessment of the skills in this unit of competency must take place under the following co</w:t>
      </w:r>
      <w:r w:rsidRPr="00C32EA0">
        <w:t>nditions:</w:t>
      </w:r>
    </w:p>
    <w:p w:rsidR="00000000" w:rsidRPr="00C32EA0" w:rsidP="00C32EA0">
      <w:pPr>
        <w:pStyle w:val="ListBullet"/>
      </w:pPr>
      <w:r w:rsidRPr="00C32EA0">
        <w:t>physical conditions:</w:t>
      </w:r>
    </w:p>
    <w:p w:rsidR="00000000" w:rsidRPr="00C32EA0" w:rsidP="00C32EA0">
      <w:pPr>
        <w:pStyle w:val="ListBullet2"/>
      </w:pPr>
      <w:r w:rsidRPr="00C32EA0">
        <w:t>a food processing workplace or an environment that accurately represents workplace conditions</w:t>
      </w:r>
    </w:p>
    <w:p w:rsidR="00000000" w:rsidRPr="00C32EA0" w:rsidP="00C32EA0">
      <w:pPr>
        <w:pStyle w:val="ListBullet"/>
      </w:pPr>
      <w:r w:rsidRPr="00C32EA0">
        <w:t>resources, equipment and materials:</w:t>
      </w:r>
    </w:p>
    <w:p w:rsidR="00000000" w:rsidRPr="00C32EA0" w:rsidP="00C32EA0">
      <w:pPr>
        <w:pStyle w:val="ListBullet2"/>
      </w:pPr>
      <w:r w:rsidRPr="00C32EA0">
        <w:t xml:space="preserve">personal protective clothing </w:t>
      </w:r>
    </w:p>
    <w:p w:rsidR="00000000" w:rsidRPr="00C32EA0" w:rsidP="00C32EA0">
      <w:pPr>
        <w:pStyle w:val="ListBullet2"/>
      </w:pPr>
      <w:r w:rsidRPr="00C32EA0">
        <w:t>freezing process and related equipment and services</w:t>
      </w:r>
    </w:p>
    <w:p w:rsidR="00000000" w:rsidRPr="00C32EA0" w:rsidP="00C32EA0">
      <w:pPr>
        <w:pStyle w:val="ListBullet2"/>
      </w:pPr>
      <w:r w:rsidRPr="00C32EA0">
        <w:t>materials/ingredients to be frozen</w:t>
      </w:r>
    </w:p>
    <w:p w:rsidR="00000000" w:rsidRPr="00C32EA0" w:rsidP="00C32EA0">
      <w:pPr>
        <w:pStyle w:val="ListBullet"/>
      </w:pPr>
      <w:r w:rsidRPr="00C32EA0">
        <w:t>specifications:</w:t>
      </w:r>
    </w:p>
    <w:p w:rsidR="00000000" w:rsidRPr="00C32EA0" w:rsidP="00C32EA0">
      <w:pPr>
        <w:pStyle w:val="ListBullet2"/>
      </w:pPr>
      <w:r w:rsidRPr="00C32EA0">
        <w:t>work procedures, including advice on safe work practices, food safety, quality and environmental requirements</w:t>
      </w:r>
    </w:p>
    <w:p w:rsidR="00000000" w:rsidRPr="00C32EA0" w:rsidP="00C32EA0">
      <w:pPr>
        <w:pStyle w:val="ListBullet2"/>
      </w:pPr>
      <w:r w:rsidRPr="00C32EA0">
        <w:t>information on equipment capacity and operating parameters</w:t>
      </w:r>
    </w:p>
    <w:p w:rsidR="00000000" w:rsidRPr="00C32EA0" w:rsidP="00C32EA0">
      <w:pPr>
        <w:pStyle w:val="ListBullet2"/>
      </w:pPr>
      <w:r w:rsidRPr="00C32EA0">
        <w:t>production schedules and batch spe</w:t>
      </w:r>
      <w:r w:rsidRPr="00C32EA0">
        <w:t>cifications, control points and processing parameters</w:t>
      </w:r>
    </w:p>
    <w:p w:rsidR="00000000" w:rsidRPr="00C32EA0" w:rsidP="00C32EA0">
      <w:pPr>
        <w:pStyle w:val="ListBullet2"/>
      </w:pPr>
      <w:r w:rsidRPr="00C32EA0">
        <w:t>recording requirements and procedures.</w:t>
      </w:r>
    </w:p>
    <w:p w:rsidR="00000000" w:rsidRPr="00C32EA0" w:rsidP="005D366E">
      <w:pPr>
        <w:pStyle w:val="BodyText"/>
      </w:pPr>
      <w:r w:rsidRPr="00C32EA0">
        <w:t>Assessors of this unit must satisfy the requirements for assessors in applicable vocational education and training legislation, frameworks and/or standards.</w:t>
      </w:r>
    </w:p>
    <w:p w:rsidR="00000000" w:rsidRPr="00C32EA0" w:rsidP="00C32EA0">
      <w:pPr>
        <w:pStyle w:val="Heading1"/>
      </w:pPr>
      <w:bookmarkStart w:id="5" w:name="O_1184590"/>
      <w:bookmarkEnd w:id="5"/>
      <w:r w:rsidRPr="00C32EA0">
        <w:t>Links</w:t>
      </w:r>
    </w:p>
    <w:p w:rsidR="00000000" w:rsidRPr="00C32EA0" w:rsidP="005D366E">
      <w:pPr>
        <w:pStyle w:val="BodyText"/>
      </w:pPr>
      <w:r w:rsidRPr="00C32EA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F15C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32EA0" w:rsidP="00C32EA0"/>
    <w:sectPr w:rsidSect="00C32E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A0" w:rsidRPr="005D366E" w:rsidP="005D3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66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6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EA0" w:rsidRPr="005D366E" w:rsidP="005D36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66E" w:rsidRPr="002D2AF8" w:rsidP="00C32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FBPOPR2092 Operate a continuous freezing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5D366E" w:rsidP="00C32E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6E94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4EA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1A56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E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E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E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E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E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E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E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E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E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E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E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EA0"/>
  </w:style>
  <w:style w:type="character" w:customStyle="1" w:styleId="Heading1Char">
    <w:name w:val="Heading 1 Char"/>
    <w:basedOn w:val="DefaultParagraphFont"/>
    <w:link w:val="Heading1"/>
    <w:rsid w:val="00C32E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E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E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E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2E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2E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E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2EA0"/>
    <w:rPr>
      <w:b/>
    </w:rPr>
  </w:style>
  <w:style w:type="character" w:customStyle="1" w:styleId="Heading2Char">
    <w:name w:val="Heading 2 Char"/>
    <w:basedOn w:val="DefaultParagraphFont"/>
    <w:link w:val="Heading2"/>
    <w:rsid w:val="00C32E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E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E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E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E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E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E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E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E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E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E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E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E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E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E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E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2EA0"/>
    <w:rPr>
      <w:b/>
      <w:spacing w:val="0"/>
    </w:rPr>
  </w:style>
  <w:style w:type="paragraph" w:customStyle="1" w:styleId="SuperTitle">
    <w:name w:val="SuperTitle"/>
    <w:basedOn w:val="Title"/>
    <w:rsid w:val="00C32E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E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E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2E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E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E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E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E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E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E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E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E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EA0"/>
    <w:rPr>
      <w:i/>
    </w:rPr>
  </w:style>
  <w:style w:type="paragraph" w:styleId="Caption">
    <w:name w:val="caption"/>
    <w:basedOn w:val="BodyText"/>
    <w:next w:val="Normal"/>
    <w:qFormat/>
    <w:rsid w:val="00C32E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E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E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EA0"/>
  </w:style>
  <w:style w:type="paragraph" w:styleId="TableofFigures">
    <w:name w:val="table of figures"/>
    <w:basedOn w:val="Normal"/>
    <w:next w:val="Normal"/>
    <w:semiHidden/>
    <w:rsid w:val="00C32E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E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2EA0"/>
    <w:rPr>
      <w:rFonts w:ascii="Wingdings" w:hAnsi="Wingdings"/>
    </w:rPr>
  </w:style>
  <w:style w:type="paragraph" w:customStyle="1" w:styleId="TableHeading">
    <w:name w:val="Table Heading"/>
    <w:basedOn w:val="HeadingBase"/>
    <w:rsid w:val="00C32E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EA0"/>
    <w:rPr>
      <w:color w:val="0033CC"/>
      <w:u w:val="none"/>
    </w:rPr>
  </w:style>
  <w:style w:type="paragraph" w:customStyle="1" w:styleId="BodyTextRight">
    <w:name w:val="Body Text Right"/>
    <w:basedOn w:val="BodyText"/>
    <w:rsid w:val="00C32E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E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E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E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E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E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EA0"/>
    <w:rPr>
      <w:sz w:val="32"/>
    </w:rPr>
  </w:style>
  <w:style w:type="paragraph" w:customStyle="1" w:styleId="HeadingProcedure">
    <w:name w:val="Heading Procedure"/>
    <w:basedOn w:val="HeadingBase"/>
    <w:next w:val="Normal"/>
    <w:rsid w:val="00C32E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EA0"/>
    <w:pPr>
      <w:spacing w:before="60" w:after="60"/>
    </w:pPr>
  </w:style>
  <w:style w:type="paragraph" w:styleId="ListContinue">
    <w:name w:val="List Continue"/>
    <w:basedOn w:val="List"/>
    <w:rsid w:val="00C32EA0"/>
    <w:pPr>
      <w:ind w:firstLine="0"/>
    </w:pPr>
  </w:style>
  <w:style w:type="paragraph" w:customStyle="1" w:styleId="ListNote">
    <w:name w:val="List Note"/>
    <w:basedOn w:val="List"/>
    <w:rsid w:val="00C32E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E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E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EA0"/>
    <w:rPr>
      <w:rFonts w:ascii="Courier New" w:hAnsi="Courier New"/>
    </w:rPr>
  </w:style>
  <w:style w:type="paragraph" w:customStyle="1" w:styleId="NoteBullet">
    <w:name w:val="Note Bullet"/>
    <w:basedOn w:val="Note"/>
    <w:rsid w:val="00C32E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E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E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E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E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2E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E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EA0"/>
    <w:rPr>
      <w:b/>
      <w:smallCaps/>
    </w:rPr>
  </w:style>
  <w:style w:type="paragraph" w:customStyle="1" w:styleId="TableListNumber">
    <w:name w:val="Table List Number"/>
    <w:basedOn w:val="ListNumber"/>
    <w:rsid w:val="00C32E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E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EA0"/>
    <w:pPr>
      <w:numPr>
        <w:numId w:val="9"/>
      </w:numPr>
    </w:pPr>
  </w:style>
  <w:style w:type="paragraph" w:customStyle="1" w:styleId="ListAlpha2">
    <w:name w:val="List Alpha 2"/>
    <w:basedOn w:val="List2"/>
    <w:rsid w:val="00C32EA0"/>
    <w:pPr>
      <w:numPr>
        <w:numId w:val="8"/>
      </w:numPr>
    </w:pPr>
  </w:style>
  <w:style w:type="paragraph" w:styleId="List2">
    <w:name w:val="List 2"/>
    <w:basedOn w:val="BodyText"/>
    <w:rsid w:val="00C32E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E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E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E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E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E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2EA0"/>
    <w:pPr>
      <w:numPr>
        <w:numId w:val="4"/>
      </w:numPr>
    </w:pPr>
  </w:style>
  <w:style w:type="paragraph" w:styleId="ListContinue2">
    <w:name w:val="List Continue 2"/>
    <w:basedOn w:val="List2"/>
    <w:rsid w:val="00C32EA0"/>
    <w:pPr>
      <w:ind w:firstLine="0"/>
    </w:pPr>
  </w:style>
  <w:style w:type="paragraph" w:styleId="ListContinue3">
    <w:name w:val="List Continue 3"/>
    <w:basedOn w:val="List3"/>
    <w:rsid w:val="00C32EA0"/>
    <w:pPr>
      <w:ind w:left="1021" w:firstLine="0"/>
    </w:pPr>
  </w:style>
  <w:style w:type="paragraph" w:styleId="ListContinue4">
    <w:name w:val="List Continue 4"/>
    <w:basedOn w:val="List4"/>
    <w:rsid w:val="00C32EA0"/>
    <w:pPr>
      <w:ind w:firstLine="0"/>
    </w:pPr>
  </w:style>
  <w:style w:type="paragraph" w:styleId="ListContinue5">
    <w:name w:val="List Continue 5"/>
    <w:basedOn w:val="List5"/>
    <w:rsid w:val="00C32EA0"/>
    <w:pPr>
      <w:ind w:firstLine="0"/>
    </w:pPr>
  </w:style>
  <w:style w:type="paragraph" w:styleId="ListNumber3">
    <w:name w:val="List Number 3"/>
    <w:basedOn w:val="List3"/>
    <w:rsid w:val="00C32EA0"/>
    <w:pPr>
      <w:numPr>
        <w:numId w:val="5"/>
      </w:numPr>
    </w:pPr>
  </w:style>
  <w:style w:type="paragraph" w:styleId="ListNumber4">
    <w:name w:val="List Number 4"/>
    <w:basedOn w:val="List4"/>
    <w:rsid w:val="00C32EA0"/>
    <w:pPr>
      <w:numPr>
        <w:numId w:val="6"/>
      </w:numPr>
    </w:pPr>
  </w:style>
  <w:style w:type="paragraph" w:styleId="ListNumber5">
    <w:name w:val="List Number 5"/>
    <w:basedOn w:val="List5"/>
    <w:rsid w:val="00C32EA0"/>
    <w:pPr>
      <w:numPr>
        <w:numId w:val="7"/>
      </w:numPr>
    </w:pPr>
  </w:style>
  <w:style w:type="paragraph" w:styleId="BlockText">
    <w:name w:val="Block Text"/>
    <w:basedOn w:val="Normal"/>
    <w:rsid w:val="00C32E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E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EA0"/>
    <w:rPr>
      <w:sz w:val="16"/>
      <w:vertAlign w:val="superscript"/>
    </w:rPr>
  </w:style>
  <w:style w:type="character" w:customStyle="1" w:styleId="Symbols">
    <w:name w:val="Symbols"/>
    <w:basedOn w:val="DefaultParagraphFont"/>
    <w:rsid w:val="00C32EA0"/>
    <w:rPr>
      <w:rFonts w:ascii="Symbol" w:hAnsi="Symbol"/>
    </w:rPr>
  </w:style>
  <w:style w:type="character" w:customStyle="1" w:styleId="MenuOptions">
    <w:name w:val="Menu Options"/>
    <w:basedOn w:val="DefaultParagraphFont"/>
    <w:rsid w:val="00C32E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EA0"/>
    <w:rPr>
      <w:b/>
    </w:rPr>
  </w:style>
  <w:style w:type="character" w:customStyle="1" w:styleId="Underlined">
    <w:name w:val="Underlined"/>
    <w:basedOn w:val="DefaultParagraphFont"/>
    <w:rsid w:val="00C32EA0"/>
    <w:rPr>
      <w:u w:val="single"/>
    </w:rPr>
  </w:style>
  <w:style w:type="paragraph" w:customStyle="1" w:styleId="TableBodyTextRight">
    <w:name w:val="Table Body Text Right"/>
    <w:basedOn w:val="TableBodyText"/>
    <w:rsid w:val="00C32E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EA0"/>
    <w:rPr>
      <w:sz w:val="18"/>
    </w:rPr>
  </w:style>
  <w:style w:type="paragraph" w:customStyle="1" w:styleId="BodySmallRight">
    <w:name w:val="Body Small Right"/>
    <w:basedOn w:val="BodyTextRight"/>
    <w:rsid w:val="00C32EA0"/>
    <w:rPr>
      <w:sz w:val="18"/>
      <w:szCs w:val="18"/>
    </w:rPr>
  </w:style>
  <w:style w:type="paragraph" w:customStyle="1" w:styleId="MarginEdition">
    <w:name w:val="Margin Edition"/>
    <w:basedOn w:val="MarginNote"/>
    <w:rsid w:val="00C32E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EA0"/>
    <w:rPr>
      <w:sz w:val="2"/>
      <w:szCs w:val="2"/>
    </w:rPr>
  </w:style>
  <w:style w:type="character" w:customStyle="1" w:styleId="Small">
    <w:name w:val="Small"/>
    <w:basedOn w:val="DefaultParagraphFont"/>
    <w:rsid w:val="00C32EA0"/>
    <w:rPr>
      <w:sz w:val="16"/>
    </w:rPr>
  </w:style>
  <w:style w:type="paragraph" w:customStyle="1" w:styleId="WideTable">
    <w:name w:val="Wide Table"/>
    <w:basedOn w:val="Normal"/>
    <w:rsid w:val="00C32E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EA0"/>
  </w:style>
  <w:style w:type="paragraph" w:styleId="Quote">
    <w:name w:val="Quote"/>
    <w:basedOn w:val="Heading1"/>
    <w:link w:val="QuoteChar"/>
    <w:qFormat/>
    <w:rsid w:val="00C32E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E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EA0"/>
    <w:pPr>
      <w:pageBreakBefore/>
    </w:pPr>
  </w:style>
  <w:style w:type="paragraph" w:customStyle="1" w:styleId="Border">
    <w:name w:val="Border"/>
    <w:basedOn w:val="Normal"/>
    <w:qFormat/>
    <w:rsid w:val="00C32E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E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E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E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E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E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E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E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E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EA0"/>
    <w:rPr>
      <w:u w:val="single"/>
    </w:rPr>
  </w:style>
  <w:style w:type="character" w:customStyle="1" w:styleId="BoldandItalics">
    <w:name w:val="Bold and Italics"/>
    <w:qFormat/>
    <w:rsid w:val="00C32EA0"/>
    <w:rPr>
      <w:b/>
      <w:i/>
      <w:u w:val="none"/>
    </w:rPr>
  </w:style>
  <w:style w:type="paragraph" w:styleId="BalloonText">
    <w:name w:val="Balloon Text"/>
    <w:basedOn w:val="Normal"/>
    <w:link w:val="BalloonTextChar"/>
    <w:rsid w:val="00C32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E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E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E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E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E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E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36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4468</Characters>
  <Application>Microsoft Office Word</Application>
  <DocSecurity>0</DocSecurity>
  <Lines>108</Lines>
  <Paragraphs>74</Paragraphs>
  <ScaleCrop>false</ScaleCrop>
  <Company>Author-it Software Corporation Ltd.</Company>
  <LinksUpToDate>false</LinksUpToDate>
  <CharactersWithSpaces>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FBPOPR2092 Operate a continuous freezing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2023-01-26T22:34:00Z</dcterms:created>
  <dcterms:modified xsi:type="dcterms:W3CDTF">2023-01-26T22:34:00Z</dcterms:modified>
</cp:coreProperties>
</file>