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D63" w:rsidP="006E0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FBPOPR2085 Operate a grinding process</w:t>
      </w:r>
      <w:r>
        <w:fldChar w:fldCharType="end"/>
      </w:r>
    </w:p>
    <w:p w:rsidR="006E0D63" w:rsidP="006E0D63">
      <w:pPr>
        <w:pStyle w:val="Version"/>
        <w:sectPr w:rsidSect="00426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DFE" w:rsidP="00426DFE">
      <w:pPr>
        <w:pStyle w:val="SuperHeading"/>
      </w:pPr>
      <w:r w:rsidRPr="00426DFE">
        <w:t>Assessment Requirements for FBPOPR2085 Operate a grinding process</w:t>
      </w:r>
    </w:p>
    <w:p w:rsidR="00000000" w:rsidRPr="00426DFE" w:rsidP="00426DFE">
      <w:pPr>
        <w:pStyle w:val="Heading1"/>
      </w:pPr>
      <w:bookmarkStart w:id="1" w:name="O_1189210"/>
      <w:bookmarkEnd w:id="1"/>
      <w:r w:rsidRPr="00426D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6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FE">
            <w:pPr>
              <w:pStyle w:val="BodyTextBold"/>
              <w:rPr>
                <w:lang w:val="en-NZ"/>
              </w:rPr>
            </w:pPr>
            <w:r w:rsidRPr="00426D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FE">
            <w:pPr>
              <w:pStyle w:val="BodyTextBold"/>
              <w:rPr>
                <w:lang w:val="en-NZ"/>
              </w:rPr>
            </w:pPr>
            <w:r w:rsidRPr="00426DFE">
              <w:t>Comments</w:t>
            </w:r>
          </w:p>
        </w:tc>
      </w:tr>
      <w:tr w:rsidTr="00426D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DFE">
            <w:pPr>
              <w:pStyle w:val="BodyText"/>
              <w:rPr>
                <w:lang w:val="en-NZ"/>
              </w:rPr>
            </w:pPr>
            <w:r w:rsidRPr="00426D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DFE" w:rsidP="00426DFE">
            <w:pPr>
              <w:pStyle w:val="BodyText"/>
            </w:pPr>
            <w:r w:rsidRPr="00426DFE">
              <w:t>This version released with FBP Food, Beverage and Pharmaceutical Training Package Version 6.0.</w:t>
            </w:r>
          </w:p>
        </w:tc>
      </w:tr>
    </w:tbl>
    <w:p w:rsidR="00000000" w:rsidRPr="00426DFE" w:rsidP="00426DFE">
      <w:pPr>
        <w:pStyle w:val="BodyText"/>
      </w:pPr>
    </w:p>
    <w:p w:rsidR="00000000" w:rsidRPr="00426DFE" w:rsidP="00426DFE">
      <w:pPr>
        <w:pStyle w:val="AllowPageBreak"/>
      </w:pPr>
    </w:p>
    <w:p w:rsidR="00000000" w:rsidRPr="00426DFE" w:rsidP="00426DFE">
      <w:pPr>
        <w:pStyle w:val="Heading1"/>
      </w:pPr>
      <w:bookmarkStart w:id="2" w:name="O_1189211"/>
      <w:bookmarkEnd w:id="2"/>
      <w:r w:rsidRPr="00426DFE">
        <w:t>Performance Evidence</w:t>
      </w:r>
    </w:p>
    <w:p w:rsidR="00000000" w:rsidRPr="00426DFE" w:rsidP="006E0D63">
      <w:pPr>
        <w:pStyle w:val="BodyText"/>
      </w:pPr>
      <w:r w:rsidRPr="00426DFE">
        <w:t>An individual demonstrating competency must satisfy all of the elements and performance criteria in this unit.</w:t>
      </w:r>
    </w:p>
    <w:p w:rsidR="00000000" w:rsidRPr="00426DFE" w:rsidP="006E0D63">
      <w:pPr>
        <w:pStyle w:val="BodyText"/>
      </w:pPr>
      <w:r w:rsidRPr="00426DFE">
        <w:t>There must be evidence that the individual has operated a grinding process to process at least one batch of grain or product</w:t>
      </w:r>
      <w:r w:rsidRPr="00426DFE">
        <w:t xml:space="preserve"> to specification, including: </w:t>
      </w:r>
    </w:p>
    <w:p w:rsidR="00000000" w:rsidRPr="00426DFE" w:rsidP="00426DFE">
      <w:pPr>
        <w:pStyle w:val="ListBullet"/>
      </w:pPr>
      <w:r w:rsidRPr="00426DFE">
        <w:t>applying safe work procedures</w:t>
      </w:r>
    </w:p>
    <w:p w:rsidR="00000000" w:rsidRPr="00426DFE" w:rsidP="00426DFE">
      <w:pPr>
        <w:pStyle w:val="ListBullet"/>
      </w:pPr>
      <w:r w:rsidRPr="00426DFE">
        <w:t>following food safety procedures</w:t>
      </w:r>
    </w:p>
    <w:p w:rsidR="00000000" w:rsidRPr="00426DFE" w:rsidP="00426DFE">
      <w:pPr>
        <w:pStyle w:val="ListBullet"/>
      </w:pPr>
      <w:r w:rsidRPr="00426DFE">
        <w:t>operating feed control panel to transfer and grind product</w:t>
      </w:r>
    </w:p>
    <w:p w:rsidR="00000000" w:rsidRPr="00426DFE" w:rsidP="00426DFE">
      <w:pPr>
        <w:pStyle w:val="ListBullet"/>
      </w:pPr>
      <w:r w:rsidRPr="00426DFE">
        <w:t>monitoring and adjusting the grinding process and equipment operation t</w:t>
      </w:r>
      <w:r w:rsidRPr="00426DFE">
        <w:t>o achieve required outcomes, including running adjustments to hammer mills and roller mills</w:t>
      </w:r>
    </w:p>
    <w:p w:rsidR="00000000" w:rsidRPr="00426DFE" w:rsidP="00426DFE">
      <w:pPr>
        <w:pStyle w:val="ListBullet"/>
      </w:pPr>
      <w:r w:rsidRPr="00426DFE">
        <w:t>addressing routine processing issues.</w:t>
      </w:r>
    </w:p>
    <w:p w:rsidR="00000000" w:rsidRPr="00426DFE" w:rsidP="00426DFE">
      <w:pPr>
        <w:pStyle w:val="AllowPageBreak"/>
      </w:pPr>
    </w:p>
    <w:p w:rsidR="00000000" w:rsidRPr="00426DFE" w:rsidP="00426DFE">
      <w:pPr>
        <w:pStyle w:val="Heading1"/>
      </w:pPr>
      <w:bookmarkStart w:id="3" w:name="O_1189212"/>
      <w:bookmarkEnd w:id="3"/>
      <w:r w:rsidRPr="00426DFE">
        <w:t>Knowledge Evidence</w:t>
      </w:r>
    </w:p>
    <w:p w:rsidR="00000000" w:rsidRPr="00426DFE" w:rsidP="006E0D63">
      <w:pPr>
        <w:pStyle w:val="BodyText"/>
      </w:pPr>
      <w:r w:rsidRPr="00426DFE">
        <w:t>An individual must be able to demonstrate the knowledge required to perform the tasks ou</w:t>
      </w:r>
      <w:r w:rsidRPr="00426DFE">
        <w:t>tlined in the elements and performance criteria of this unit. This includes knowledge of:</w:t>
      </w:r>
    </w:p>
    <w:p w:rsidR="00000000" w:rsidRPr="00426DFE" w:rsidP="00426DFE">
      <w:pPr>
        <w:pStyle w:val="ListBullet"/>
      </w:pPr>
      <w:r w:rsidRPr="00426DFE">
        <w:t xml:space="preserve">purpose and basic principles of the grinding process, including the characteristics of materials that can be reduced to a suitable form for product, including stock </w:t>
      </w:r>
      <w:r w:rsidRPr="00426DFE">
        <w:t>feed</w:t>
      </w:r>
    </w:p>
    <w:p w:rsidR="00000000" w:rsidRPr="00426DFE" w:rsidP="00426DFE">
      <w:pPr>
        <w:pStyle w:val="ListBullet"/>
      </w:pPr>
      <w:r w:rsidRPr="00426DFE">
        <w:t>basic operating principles of equipment used to operate the grinding process, including:</w:t>
      </w:r>
    </w:p>
    <w:p w:rsidR="00000000" w:rsidRPr="00426DFE" w:rsidP="00426DFE">
      <w:pPr>
        <w:pStyle w:val="ListBullet2"/>
      </w:pPr>
      <w:r w:rsidRPr="00426DFE">
        <w:t>main equipment components</w:t>
      </w:r>
    </w:p>
    <w:p w:rsidR="00000000" w:rsidRPr="00426DFE" w:rsidP="00426DFE">
      <w:pPr>
        <w:pStyle w:val="ListBullet2"/>
      </w:pPr>
      <w:r w:rsidRPr="00426DFE">
        <w:t>bulk materials transfer systems and equipment</w:t>
      </w:r>
    </w:p>
    <w:p w:rsidR="00000000" w:rsidRPr="00426DFE" w:rsidP="00426DFE">
      <w:pPr>
        <w:pStyle w:val="ListBullet2"/>
      </w:pPr>
      <w:r w:rsidRPr="00426DFE">
        <w:t>dust collection equipment</w:t>
      </w:r>
    </w:p>
    <w:p w:rsidR="00000000" w:rsidRPr="00426DFE" w:rsidP="00426DFE">
      <w:pPr>
        <w:pStyle w:val="ListBullet2"/>
      </w:pPr>
      <w:r w:rsidRPr="00426DFE">
        <w:t>grinding equipment operating capacities and applications</w:t>
      </w:r>
    </w:p>
    <w:p w:rsidR="00000000" w:rsidRPr="00426DFE" w:rsidP="00426DFE">
      <w:pPr>
        <w:pStyle w:val="ListBullet2"/>
      </w:pPr>
      <w:r w:rsidRPr="00426DFE">
        <w:t>the purpose and location of magnets, sensors and related feedback instrumentation</w:t>
      </w:r>
    </w:p>
    <w:p w:rsidR="00000000" w:rsidRPr="00426DFE" w:rsidP="00426DFE">
      <w:pPr>
        <w:pStyle w:val="ListBullet"/>
      </w:pPr>
      <w:r w:rsidRPr="00426DFE">
        <w:t>services required for the grinding process, and action to take if services are not available</w:t>
      </w:r>
    </w:p>
    <w:p w:rsidR="00000000" w:rsidRPr="00426DFE" w:rsidP="00426DFE">
      <w:pPr>
        <w:pStyle w:val="ListBullet"/>
      </w:pPr>
      <w:r w:rsidRPr="00426DFE">
        <w:t>basic operating principles of process control, including the relationship betwee</w:t>
      </w:r>
      <w:r w:rsidRPr="00426DFE">
        <w:t>n control panels and systems and the physical equipment</w:t>
      </w:r>
    </w:p>
    <w:p w:rsidR="00000000" w:rsidRPr="00426DFE" w:rsidP="00426DFE">
      <w:pPr>
        <w:pStyle w:val="ListBullet"/>
      </w:pPr>
      <w:r w:rsidRPr="00426DFE">
        <w:t>the flow of the grinding process and the effect of product output on downstream processes</w:t>
      </w:r>
    </w:p>
    <w:p w:rsidR="00000000" w:rsidRPr="00426DFE" w:rsidP="00426DFE">
      <w:pPr>
        <w:pStyle w:val="ListBullet"/>
      </w:pPr>
      <w:r w:rsidRPr="00426DFE">
        <w:t>quality characteristics and uses of ground product</w:t>
      </w:r>
    </w:p>
    <w:p w:rsidR="00000000" w:rsidRPr="00426DFE" w:rsidP="00426DFE">
      <w:pPr>
        <w:pStyle w:val="ListBullet"/>
      </w:pPr>
      <w:r w:rsidRPr="00426DFE">
        <w:t>effect of the grinding process on the end product</w:t>
      </w:r>
    </w:p>
    <w:p w:rsidR="00000000" w:rsidRPr="00426DFE" w:rsidP="00426DFE">
      <w:pPr>
        <w:pStyle w:val="ListBullet"/>
      </w:pPr>
      <w:r w:rsidRPr="00426DFE">
        <w:t>effect of</w:t>
      </w:r>
      <w:r w:rsidRPr="00426DFE">
        <w:t xml:space="preserve"> raw material characteristics on grinding process performance</w:t>
      </w:r>
    </w:p>
    <w:p w:rsidR="00000000" w:rsidRPr="00426DFE" w:rsidP="00426DFE">
      <w:pPr>
        <w:pStyle w:val="ListBullet"/>
      </w:pPr>
      <w:r w:rsidRPr="00426DFE">
        <w:t>operating requirements and parameters, and corrective action required where operation is outside specified operating parameters</w:t>
      </w:r>
    </w:p>
    <w:p w:rsidR="00000000" w:rsidRPr="00426DFE" w:rsidP="00426DFE">
      <w:pPr>
        <w:pStyle w:val="ListBullet"/>
      </w:pPr>
      <w:r w:rsidRPr="00426DFE">
        <w:t>good manufacturing practices (GMP) relevant to work task</w:t>
      </w:r>
    </w:p>
    <w:p w:rsidR="00000000" w:rsidRPr="00426DFE" w:rsidP="00426DFE">
      <w:pPr>
        <w:pStyle w:val="ListBullet"/>
      </w:pPr>
      <w:r w:rsidRPr="00426DFE">
        <w:t>typical e</w:t>
      </w:r>
      <w:r w:rsidRPr="00426DFE">
        <w:t>quipment faults related to the grinding process, and related causes, including signs and symptoms of faulty equipment, and early warning signs of potential problems</w:t>
      </w:r>
    </w:p>
    <w:p w:rsidR="00000000" w:rsidRPr="00426DFE" w:rsidP="00426DFE">
      <w:pPr>
        <w:pStyle w:val="ListBullet"/>
      </w:pPr>
      <w:r w:rsidRPr="00426DFE">
        <w:t>techniques used to monitor the production process, including inspecting, measuring and test</w:t>
      </w:r>
      <w:r w:rsidRPr="00426DFE">
        <w:t>ing as required by the process</w:t>
      </w:r>
    </w:p>
    <w:p w:rsidR="00000000" w:rsidRPr="00426DFE" w:rsidP="00426DFE">
      <w:pPr>
        <w:pStyle w:val="ListBullet"/>
      </w:pPr>
      <w:r w:rsidRPr="00426DFE">
        <w:t>inspection or test points (control points) in the process and the related procedures and recording requirements</w:t>
      </w:r>
    </w:p>
    <w:p w:rsidR="00000000" w:rsidRPr="00426DFE" w:rsidP="00426DFE">
      <w:pPr>
        <w:pStyle w:val="ListBullet"/>
      </w:pPr>
      <w:r w:rsidRPr="00426DFE">
        <w:t>contamination/cross-contamination and food safety risks associated with the grinding process, and related control measures</w:t>
      </w:r>
    </w:p>
    <w:p w:rsidR="00000000" w:rsidRPr="00426DFE" w:rsidP="00426DFE">
      <w:pPr>
        <w:pStyle w:val="ListBullet"/>
      </w:pPr>
      <w:r w:rsidRPr="00426DFE">
        <w:t>common causes of variation for the grinding process, and corrective action required</w:t>
      </w:r>
    </w:p>
    <w:p w:rsidR="00000000" w:rsidRPr="00426DFE" w:rsidP="00426DFE">
      <w:pPr>
        <w:pStyle w:val="ListBullet"/>
      </w:pPr>
      <w:r w:rsidRPr="00426DFE">
        <w:t>health and safety hazards and controls related to</w:t>
      </w:r>
      <w:r w:rsidRPr="00426DFE">
        <w:t xml:space="preserve"> the grinding process, including:</w:t>
      </w:r>
    </w:p>
    <w:p w:rsidR="00000000" w:rsidRPr="00426DFE" w:rsidP="00426DFE">
      <w:pPr>
        <w:pStyle w:val="ListBullet2"/>
      </w:pPr>
      <w:r w:rsidRPr="00426DFE">
        <w:t>the risk of dust explosion</w:t>
      </w:r>
    </w:p>
    <w:p w:rsidR="00000000" w:rsidRPr="00426DFE" w:rsidP="00426DFE">
      <w:pPr>
        <w:pStyle w:val="ListBullet2"/>
      </w:pPr>
      <w:r w:rsidRPr="00426DFE">
        <w:t>an understanding of the limitations of protective clothing and equipment relevant to the work process</w:t>
      </w:r>
    </w:p>
    <w:p w:rsidR="00000000" w:rsidRPr="00426DFE" w:rsidP="00426DFE">
      <w:pPr>
        <w:pStyle w:val="ListBullet"/>
      </w:pPr>
      <w:r w:rsidRPr="00426DFE">
        <w:t xml:space="preserve">requirements of different shutdowns as appropriate to the process and workplace production </w:t>
      </w:r>
      <w:r w:rsidRPr="00426DFE">
        <w:t>requirements, including emergency and routine shutdowns, and procedures to follow in the event of a power outage</w:t>
      </w:r>
    </w:p>
    <w:p w:rsidR="00000000" w:rsidRPr="00426DFE" w:rsidP="00426DFE">
      <w:pPr>
        <w:pStyle w:val="ListBullet"/>
      </w:pPr>
      <w:r w:rsidRPr="00426DFE">
        <w:t>isolation, lock-out and tag-out procedures and responsibilities required for the operation of the grinding process</w:t>
      </w:r>
    </w:p>
    <w:p w:rsidR="00000000" w:rsidRPr="00426DFE" w:rsidP="00426DFE">
      <w:pPr>
        <w:pStyle w:val="ListBullet"/>
      </w:pPr>
      <w:r w:rsidRPr="00426DFE">
        <w:t>procedures and responsibilit</w:t>
      </w:r>
      <w:r w:rsidRPr="00426DFE">
        <w:t>y for reporting production and performance information</w:t>
      </w:r>
    </w:p>
    <w:p w:rsidR="00000000" w:rsidRPr="00426DFE" w:rsidP="00426DFE">
      <w:pPr>
        <w:pStyle w:val="ListBullet"/>
      </w:pPr>
      <w:r w:rsidRPr="00426DFE">
        <w:t>environmental issues and controls relevant to the process, including waste/rework collection and handling procedures related to the process</w:t>
      </w:r>
    </w:p>
    <w:p w:rsidR="00000000" w:rsidRPr="00426DFE" w:rsidP="00426DFE">
      <w:pPr>
        <w:pStyle w:val="ListBullet"/>
      </w:pPr>
      <w:r w:rsidRPr="00426DFE">
        <w:t>cleaning and sanitisation procedures required for equipment</w:t>
      </w:r>
    </w:p>
    <w:p w:rsidR="00000000" w:rsidRPr="00426DFE" w:rsidP="00426DFE">
      <w:pPr>
        <w:pStyle w:val="ListBullet"/>
      </w:pPr>
      <w:r w:rsidRPr="00426DFE">
        <w:t>r</w:t>
      </w:r>
      <w:r w:rsidRPr="00426DFE">
        <w:t>ecording procedures to track traceability of product.</w:t>
      </w:r>
    </w:p>
    <w:p w:rsidR="00000000" w:rsidRPr="00426DFE" w:rsidP="00426DFE">
      <w:pPr>
        <w:pStyle w:val="AllowPageBreak"/>
      </w:pPr>
    </w:p>
    <w:p w:rsidR="00000000" w:rsidRPr="00426DFE" w:rsidP="00426DFE">
      <w:pPr>
        <w:pStyle w:val="Heading1"/>
      </w:pPr>
      <w:bookmarkStart w:id="4" w:name="O_1189213"/>
      <w:bookmarkEnd w:id="4"/>
      <w:r w:rsidRPr="00426DFE">
        <w:t>Assessment Conditions</w:t>
      </w:r>
    </w:p>
    <w:p w:rsidR="00000000" w:rsidRPr="00426DFE" w:rsidP="006E0D63">
      <w:pPr>
        <w:pStyle w:val="BodyText"/>
      </w:pPr>
      <w:r w:rsidRPr="00426DFE">
        <w:t>Assessment of the skills in this unit of competency must take place under the following conditions:</w:t>
      </w:r>
    </w:p>
    <w:p w:rsidR="00000000" w:rsidRPr="00426DFE" w:rsidP="00426DFE">
      <w:pPr>
        <w:pStyle w:val="ListBullet"/>
      </w:pPr>
      <w:r w:rsidRPr="00426DFE">
        <w:t>physical conditions:</w:t>
      </w:r>
    </w:p>
    <w:p w:rsidR="00000000" w:rsidRPr="00426DFE" w:rsidP="00426DFE">
      <w:pPr>
        <w:pStyle w:val="ListBullet2"/>
      </w:pPr>
      <w:r w:rsidRPr="00426DFE">
        <w:t>a food processing workplace or an environment that accurately represents workplace conditions</w:t>
      </w:r>
    </w:p>
    <w:p w:rsidR="00000000" w:rsidRPr="00426DFE" w:rsidP="00426DFE">
      <w:pPr>
        <w:pStyle w:val="ListBullet"/>
      </w:pPr>
      <w:r w:rsidRPr="00426DFE">
        <w:t>resources, equipment and materials:</w:t>
      </w:r>
    </w:p>
    <w:p w:rsidR="00000000" w:rsidRPr="00426DFE" w:rsidP="00426DFE">
      <w:pPr>
        <w:pStyle w:val="ListBullet2"/>
      </w:pPr>
      <w:r w:rsidRPr="00426DFE">
        <w:t xml:space="preserve">personal protective clothing </w:t>
      </w:r>
    </w:p>
    <w:p w:rsidR="00000000" w:rsidRPr="00426DFE" w:rsidP="00426DFE">
      <w:pPr>
        <w:pStyle w:val="ListBullet2"/>
      </w:pPr>
      <w:r w:rsidRPr="00426DFE">
        <w:t>grinding equipment and related services</w:t>
      </w:r>
    </w:p>
    <w:p w:rsidR="00000000" w:rsidRPr="00426DFE" w:rsidP="00426DFE">
      <w:pPr>
        <w:pStyle w:val="ListBullet2"/>
      </w:pPr>
      <w:r w:rsidRPr="00426DFE">
        <w:t>product for grinding</w:t>
      </w:r>
    </w:p>
    <w:p w:rsidR="00000000" w:rsidRPr="00426DFE" w:rsidP="00426DFE">
      <w:pPr>
        <w:pStyle w:val="ListBullet2"/>
      </w:pPr>
      <w:r w:rsidRPr="00426DFE">
        <w:t>cleaning materials and equipment</w:t>
      </w:r>
    </w:p>
    <w:p w:rsidR="00000000" w:rsidRPr="00426DFE" w:rsidP="00426DFE">
      <w:pPr>
        <w:pStyle w:val="ListBullet"/>
      </w:pPr>
      <w:r w:rsidRPr="00426DFE">
        <w:t>specifications:</w:t>
      </w:r>
    </w:p>
    <w:p w:rsidR="00000000" w:rsidRPr="00426DFE" w:rsidP="00426DFE">
      <w:pPr>
        <w:pStyle w:val="ListBullet2"/>
      </w:pPr>
      <w:r w:rsidRPr="00426DFE">
        <w:t>work procedures, including advice on safe work practices, food safety, quality and environmental requirements, stock flow systems, production schedules, batch/recipe instructions</w:t>
      </w:r>
    </w:p>
    <w:p w:rsidR="00000000" w:rsidRPr="00426DFE" w:rsidP="00426DFE">
      <w:pPr>
        <w:pStyle w:val="ListBullet2"/>
      </w:pPr>
      <w:r w:rsidRPr="00426DFE">
        <w:t>production schedule/batch specifications, control points an</w:t>
      </w:r>
      <w:r w:rsidRPr="00426DFE">
        <w:t>d processing parameters</w:t>
      </w:r>
    </w:p>
    <w:p w:rsidR="00000000" w:rsidRPr="00426DFE" w:rsidP="00426DFE">
      <w:pPr>
        <w:pStyle w:val="ListBullet2"/>
      </w:pPr>
      <w:r w:rsidRPr="00426DFE">
        <w:t>information on equipment capacity and operating parameters</w:t>
      </w:r>
    </w:p>
    <w:p w:rsidR="00000000" w:rsidRPr="00426DFE" w:rsidP="00426DFE">
      <w:pPr>
        <w:pStyle w:val="ListBullet2"/>
      </w:pPr>
      <w:r w:rsidRPr="00426DFE">
        <w:t>recording requirements and procedures.</w:t>
      </w:r>
    </w:p>
    <w:p w:rsidR="00000000" w:rsidRPr="00426DFE" w:rsidP="006E0D63">
      <w:pPr>
        <w:pStyle w:val="BodyText"/>
      </w:pPr>
      <w:r w:rsidRPr="00426DFE">
        <w:t>Assessors of this unit must satisfy the requirements for assessors in applicable vocationa</w:t>
      </w:r>
      <w:r w:rsidRPr="00426DFE">
        <w:t>l education and training legislation, frameworks and/or standards.</w:t>
      </w:r>
    </w:p>
    <w:p w:rsidR="00000000" w:rsidRPr="00426DFE" w:rsidP="00426DFE">
      <w:pPr>
        <w:pStyle w:val="Heading1"/>
      </w:pPr>
      <w:bookmarkStart w:id="5" w:name="O_1189216"/>
      <w:bookmarkEnd w:id="5"/>
      <w:r w:rsidRPr="00426DFE">
        <w:t>Links</w:t>
      </w:r>
    </w:p>
    <w:p w:rsidR="00000000" w:rsidRPr="00426DFE" w:rsidP="006E0D63">
      <w:pPr>
        <w:pStyle w:val="BodyText"/>
      </w:pPr>
      <w:r w:rsidRPr="00426D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1BF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6DFE" w:rsidP="00426DFE"/>
    <w:sectPr w:rsidSect="00426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FE" w:rsidRPr="006E0D63" w:rsidP="006E0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63" w:rsidP="00426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D63" w:rsidP="00426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0D63" w:rsidP="00426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DFE" w:rsidRPr="006E0D63" w:rsidP="006E0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D63" w:rsidRPr="002D2AF8" w:rsidP="00426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FBPOPR2085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0D63" w:rsidP="00426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006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C2E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B86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DFE"/>
  </w:style>
  <w:style w:type="character" w:customStyle="1" w:styleId="Heading1Char">
    <w:name w:val="Heading 1 Char"/>
    <w:basedOn w:val="DefaultParagraphFont"/>
    <w:link w:val="Heading1"/>
    <w:rsid w:val="00426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D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D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D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6DFE"/>
    <w:rPr>
      <w:b/>
    </w:rPr>
  </w:style>
  <w:style w:type="character" w:customStyle="1" w:styleId="Heading2Char">
    <w:name w:val="Heading 2 Char"/>
    <w:basedOn w:val="DefaultParagraphFont"/>
    <w:link w:val="Heading2"/>
    <w:rsid w:val="00426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D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DFE"/>
    <w:rPr>
      <w:b/>
      <w:spacing w:val="0"/>
    </w:rPr>
  </w:style>
  <w:style w:type="paragraph" w:customStyle="1" w:styleId="SuperTitle">
    <w:name w:val="SuperTitle"/>
    <w:basedOn w:val="Title"/>
    <w:rsid w:val="00426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DFE"/>
    <w:rPr>
      <w:i/>
    </w:rPr>
  </w:style>
  <w:style w:type="paragraph" w:styleId="Caption">
    <w:name w:val="caption"/>
    <w:basedOn w:val="BodyText"/>
    <w:next w:val="Normal"/>
    <w:qFormat/>
    <w:rsid w:val="00426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DFE"/>
  </w:style>
  <w:style w:type="paragraph" w:styleId="TableofFigures">
    <w:name w:val="table of figures"/>
    <w:basedOn w:val="Normal"/>
    <w:next w:val="Normal"/>
    <w:semiHidden/>
    <w:rsid w:val="00426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D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DFE"/>
    <w:rPr>
      <w:rFonts w:ascii="Wingdings" w:hAnsi="Wingdings"/>
    </w:rPr>
  </w:style>
  <w:style w:type="paragraph" w:customStyle="1" w:styleId="TableHeading">
    <w:name w:val="Table Heading"/>
    <w:basedOn w:val="HeadingBase"/>
    <w:rsid w:val="00426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DFE"/>
    <w:rPr>
      <w:color w:val="0033CC"/>
      <w:u w:val="none"/>
    </w:rPr>
  </w:style>
  <w:style w:type="paragraph" w:customStyle="1" w:styleId="BodyTextRight">
    <w:name w:val="Body Text Right"/>
    <w:basedOn w:val="BodyText"/>
    <w:rsid w:val="00426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D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DFE"/>
    <w:rPr>
      <w:sz w:val="32"/>
    </w:rPr>
  </w:style>
  <w:style w:type="paragraph" w:customStyle="1" w:styleId="HeadingProcedure">
    <w:name w:val="Heading Procedure"/>
    <w:basedOn w:val="HeadingBase"/>
    <w:next w:val="Normal"/>
    <w:rsid w:val="00426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DFE"/>
    <w:pPr>
      <w:spacing w:before="60" w:after="60"/>
    </w:pPr>
  </w:style>
  <w:style w:type="paragraph" w:styleId="ListContinue">
    <w:name w:val="List Continue"/>
    <w:basedOn w:val="List"/>
    <w:rsid w:val="00426DFE"/>
    <w:pPr>
      <w:ind w:firstLine="0"/>
    </w:pPr>
  </w:style>
  <w:style w:type="paragraph" w:customStyle="1" w:styleId="ListNote">
    <w:name w:val="List Note"/>
    <w:basedOn w:val="List"/>
    <w:rsid w:val="00426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DFE"/>
    <w:rPr>
      <w:rFonts w:ascii="Courier New" w:hAnsi="Courier New"/>
    </w:rPr>
  </w:style>
  <w:style w:type="paragraph" w:customStyle="1" w:styleId="NoteBullet">
    <w:name w:val="Note Bullet"/>
    <w:basedOn w:val="Note"/>
    <w:rsid w:val="00426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D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DFE"/>
    <w:rPr>
      <w:b/>
      <w:smallCaps/>
    </w:rPr>
  </w:style>
  <w:style w:type="paragraph" w:customStyle="1" w:styleId="TableListNumber">
    <w:name w:val="Table List Number"/>
    <w:basedOn w:val="ListNumber"/>
    <w:rsid w:val="00426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DFE"/>
    <w:pPr>
      <w:numPr>
        <w:numId w:val="9"/>
      </w:numPr>
    </w:pPr>
  </w:style>
  <w:style w:type="paragraph" w:customStyle="1" w:styleId="ListAlpha2">
    <w:name w:val="List Alpha 2"/>
    <w:basedOn w:val="List2"/>
    <w:rsid w:val="00426DFE"/>
    <w:pPr>
      <w:numPr>
        <w:numId w:val="8"/>
      </w:numPr>
    </w:pPr>
  </w:style>
  <w:style w:type="paragraph" w:styleId="List2">
    <w:name w:val="List 2"/>
    <w:basedOn w:val="BodyText"/>
    <w:rsid w:val="00426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D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D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DFE"/>
    <w:pPr>
      <w:numPr>
        <w:numId w:val="4"/>
      </w:numPr>
    </w:pPr>
  </w:style>
  <w:style w:type="paragraph" w:styleId="ListContinue2">
    <w:name w:val="List Continue 2"/>
    <w:basedOn w:val="List2"/>
    <w:rsid w:val="00426DFE"/>
    <w:pPr>
      <w:ind w:firstLine="0"/>
    </w:pPr>
  </w:style>
  <w:style w:type="paragraph" w:styleId="ListContinue3">
    <w:name w:val="List Continue 3"/>
    <w:basedOn w:val="List3"/>
    <w:rsid w:val="00426DFE"/>
    <w:pPr>
      <w:ind w:left="1021" w:firstLine="0"/>
    </w:pPr>
  </w:style>
  <w:style w:type="paragraph" w:styleId="ListContinue4">
    <w:name w:val="List Continue 4"/>
    <w:basedOn w:val="List4"/>
    <w:rsid w:val="00426DFE"/>
    <w:pPr>
      <w:ind w:firstLine="0"/>
    </w:pPr>
  </w:style>
  <w:style w:type="paragraph" w:styleId="ListContinue5">
    <w:name w:val="List Continue 5"/>
    <w:basedOn w:val="List5"/>
    <w:rsid w:val="00426DFE"/>
    <w:pPr>
      <w:ind w:firstLine="0"/>
    </w:pPr>
  </w:style>
  <w:style w:type="paragraph" w:styleId="ListNumber3">
    <w:name w:val="List Number 3"/>
    <w:basedOn w:val="List3"/>
    <w:rsid w:val="00426DFE"/>
    <w:pPr>
      <w:numPr>
        <w:numId w:val="5"/>
      </w:numPr>
    </w:pPr>
  </w:style>
  <w:style w:type="paragraph" w:styleId="ListNumber4">
    <w:name w:val="List Number 4"/>
    <w:basedOn w:val="List4"/>
    <w:rsid w:val="00426DFE"/>
    <w:pPr>
      <w:numPr>
        <w:numId w:val="6"/>
      </w:numPr>
    </w:pPr>
  </w:style>
  <w:style w:type="paragraph" w:styleId="ListNumber5">
    <w:name w:val="List Number 5"/>
    <w:basedOn w:val="List5"/>
    <w:rsid w:val="00426DFE"/>
    <w:pPr>
      <w:numPr>
        <w:numId w:val="7"/>
      </w:numPr>
    </w:pPr>
  </w:style>
  <w:style w:type="paragraph" w:styleId="BlockText">
    <w:name w:val="Block Text"/>
    <w:basedOn w:val="Normal"/>
    <w:rsid w:val="00426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DFE"/>
    <w:rPr>
      <w:sz w:val="16"/>
      <w:vertAlign w:val="superscript"/>
    </w:rPr>
  </w:style>
  <w:style w:type="character" w:customStyle="1" w:styleId="Symbols">
    <w:name w:val="Symbols"/>
    <w:basedOn w:val="DefaultParagraphFont"/>
    <w:rsid w:val="00426DFE"/>
    <w:rPr>
      <w:rFonts w:ascii="Symbol" w:hAnsi="Symbol"/>
    </w:rPr>
  </w:style>
  <w:style w:type="character" w:customStyle="1" w:styleId="MenuOptions">
    <w:name w:val="Menu Options"/>
    <w:basedOn w:val="DefaultParagraphFont"/>
    <w:rsid w:val="00426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DFE"/>
    <w:rPr>
      <w:b/>
    </w:rPr>
  </w:style>
  <w:style w:type="character" w:customStyle="1" w:styleId="Underlined">
    <w:name w:val="Underlined"/>
    <w:basedOn w:val="DefaultParagraphFont"/>
    <w:rsid w:val="00426DFE"/>
    <w:rPr>
      <w:u w:val="single"/>
    </w:rPr>
  </w:style>
  <w:style w:type="paragraph" w:customStyle="1" w:styleId="TableBodyTextRight">
    <w:name w:val="Table Body Text Right"/>
    <w:basedOn w:val="TableBodyText"/>
    <w:rsid w:val="00426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DFE"/>
    <w:rPr>
      <w:sz w:val="18"/>
    </w:rPr>
  </w:style>
  <w:style w:type="paragraph" w:customStyle="1" w:styleId="BodySmallRight">
    <w:name w:val="Body Small Right"/>
    <w:basedOn w:val="BodyTextRight"/>
    <w:rsid w:val="00426DFE"/>
    <w:rPr>
      <w:sz w:val="18"/>
      <w:szCs w:val="18"/>
    </w:rPr>
  </w:style>
  <w:style w:type="paragraph" w:customStyle="1" w:styleId="MarginEdition">
    <w:name w:val="Margin Edition"/>
    <w:basedOn w:val="MarginNote"/>
    <w:rsid w:val="00426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DFE"/>
    <w:rPr>
      <w:sz w:val="2"/>
      <w:szCs w:val="2"/>
    </w:rPr>
  </w:style>
  <w:style w:type="character" w:customStyle="1" w:styleId="Small">
    <w:name w:val="Small"/>
    <w:basedOn w:val="DefaultParagraphFont"/>
    <w:rsid w:val="00426DFE"/>
    <w:rPr>
      <w:sz w:val="16"/>
    </w:rPr>
  </w:style>
  <w:style w:type="paragraph" w:customStyle="1" w:styleId="WideTable">
    <w:name w:val="Wide Table"/>
    <w:basedOn w:val="Normal"/>
    <w:rsid w:val="00426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DFE"/>
  </w:style>
  <w:style w:type="paragraph" w:styleId="Quote">
    <w:name w:val="Quote"/>
    <w:basedOn w:val="Heading1"/>
    <w:link w:val="QuoteChar"/>
    <w:qFormat/>
    <w:rsid w:val="00426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DFE"/>
    <w:pPr>
      <w:pageBreakBefore/>
    </w:pPr>
  </w:style>
  <w:style w:type="paragraph" w:customStyle="1" w:styleId="Border">
    <w:name w:val="Border"/>
    <w:basedOn w:val="Normal"/>
    <w:qFormat/>
    <w:rsid w:val="00426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DFE"/>
    <w:rPr>
      <w:u w:val="single"/>
    </w:rPr>
  </w:style>
  <w:style w:type="character" w:customStyle="1" w:styleId="BoldandItalics">
    <w:name w:val="Bold and Italics"/>
    <w:qFormat/>
    <w:rsid w:val="00426DFE"/>
    <w:rPr>
      <w:b/>
      <w:i/>
      <w:u w:val="none"/>
    </w:rPr>
  </w:style>
  <w:style w:type="paragraph" w:styleId="BalloonText">
    <w:name w:val="Balloon Text"/>
    <w:basedOn w:val="Normal"/>
    <w:link w:val="BalloonTextChar"/>
    <w:rsid w:val="00426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D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0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4368</Characters>
  <Application>Microsoft Office Word</Application>
  <DocSecurity>0</DocSecurity>
  <Lines>99</Lines>
  <Paragraphs>75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FBPOPR2085 Operate a grinding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