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023" w:rsidP="00CD50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FBPOPR2082 Operate a mixing or blending process</w:t>
      </w:r>
      <w:r>
        <w:fldChar w:fldCharType="end"/>
      </w:r>
    </w:p>
    <w:p w:rsidR="00CD5023" w:rsidP="00CD5023">
      <w:pPr>
        <w:pStyle w:val="Version"/>
        <w:sectPr w:rsidSect="00540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01AA" w:rsidP="005401AA">
      <w:pPr>
        <w:pStyle w:val="SuperHeading"/>
      </w:pPr>
      <w:r w:rsidRPr="005401AA">
        <w:t>FBPOPR2082 Operate a mixing or blending process</w:t>
      </w:r>
    </w:p>
    <w:p w:rsidR="00000000" w:rsidRPr="005401AA" w:rsidP="005401AA">
      <w:pPr>
        <w:pStyle w:val="Heading1"/>
      </w:pPr>
      <w:bookmarkStart w:id="1" w:name="O_1184403"/>
      <w:bookmarkEnd w:id="1"/>
      <w:r w:rsidRPr="005401A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4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Bold"/>
              <w:rPr>
                <w:lang w:val="en-NZ"/>
              </w:rPr>
            </w:pPr>
            <w:r w:rsidRPr="005401A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Bold"/>
              <w:rPr>
                <w:lang w:val="en-NZ"/>
              </w:rPr>
            </w:pPr>
            <w:r w:rsidRPr="005401AA">
              <w:t>Comments</w:t>
            </w:r>
          </w:p>
        </w:tc>
      </w:tr>
      <w:tr w:rsidTr="0054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BodyText"/>
            </w:pPr>
            <w:r w:rsidRPr="005401AA">
              <w:t>This version released with FBP Food, Beverage and Pharmaceutical Training Package Version 6.0.</w:t>
            </w:r>
          </w:p>
        </w:tc>
      </w:tr>
    </w:tbl>
    <w:p w:rsidR="00000000" w:rsidRPr="005401AA" w:rsidP="005401AA">
      <w:pPr>
        <w:pStyle w:val="BodyText"/>
      </w:pPr>
    </w:p>
    <w:p w:rsidR="00000000" w:rsidRPr="005401AA" w:rsidP="005401AA">
      <w:pPr>
        <w:pStyle w:val="AllowPageBreak"/>
      </w:pPr>
    </w:p>
    <w:p w:rsidR="00000000" w:rsidRPr="005401AA" w:rsidP="005401AA">
      <w:pPr>
        <w:pStyle w:val="Heading1"/>
      </w:pPr>
      <w:bookmarkStart w:id="2" w:name="O_1184404"/>
      <w:bookmarkEnd w:id="2"/>
      <w:r w:rsidRPr="005401AA">
        <w:t>Application</w:t>
      </w:r>
    </w:p>
    <w:p w:rsidR="00000000" w:rsidRPr="005401AA" w:rsidP="00CD5023">
      <w:pPr>
        <w:pStyle w:val="BodyText"/>
      </w:pPr>
      <w:r w:rsidRPr="005401AA">
        <w:t>This unit of competency describes the skills and knowledge required to</w:t>
      </w:r>
      <w:r w:rsidRPr="005401AA">
        <w:t xml:space="preserve"> combine ingredients and additives in the correct quantities and sequence, and to operate and shut down mixing and blending equipment to achieve the required mix characteristics.</w:t>
      </w:r>
    </w:p>
    <w:p w:rsidR="00000000" w:rsidRPr="005401AA" w:rsidP="00CD5023">
      <w:pPr>
        <w:pStyle w:val="BodyText"/>
      </w:pPr>
      <w:r w:rsidRPr="005401AA">
        <w:t>This unit applies to individuals who work under general supervision in a proc</w:t>
      </w:r>
      <w:r w:rsidRPr="005401AA">
        <w:t>essing industry. Mixes may include concentrated pre-mixes or bulk blends. The output of this process may be a product requiring further processing or for external use.</w:t>
      </w:r>
    </w:p>
    <w:p w:rsidR="00000000" w:rsidRPr="005401AA" w:rsidP="00CD5023">
      <w:pPr>
        <w:pStyle w:val="BodyText"/>
      </w:pPr>
      <w:r w:rsidRPr="005401AA">
        <w:t>This unit should not be delivered in a qualification with FBPOPR2087 Operate a mixing or</w:t>
      </w:r>
      <w:r w:rsidRPr="005401AA">
        <w:t xml:space="preserve"> blending and cooking process</w:t>
      </w:r>
    </w:p>
    <w:p w:rsidR="00000000" w:rsidRPr="005401AA" w:rsidP="00CD5023">
      <w:pPr>
        <w:pStyle w:val="BodyText"/>
      </w:pPr>
      <w:r w:rsidRPr="005401AA">
        <w:t>All work must be carried out to comply with workplace procedures according to state/territory health and safety, environmental regulations, legislation and standards that apply to the workplace.</w:t>
      </w:r>
    </w:p>
    <w:p w:rsidR="00000000" w:rsidRPr="005401AA" w:rsidP="00CD5023">
      <w:pPr>
        <w:pStyle w:val="BodyText"/>
      </w:pPr>
      <w:r w:rsidRPr="005401AA">
        <w:t>No licensing, legislative or ce</w:t>
      </w:r>
      <w:r w:rsidRPr="005401AA">
        <w:t>rtification requirements apply to this unit at the time of publication.</w:t>
      </w:r>
    </w:p>
    <w:p w:rsidR="00000000" w:rsidRPr="005401AA" w:rsidP="005401AA">
      <w:pPr>
        <w:pStyle w:val="Heading1"/>
      </w:pPr>
      <w:bookmarkStart w:id="3" w:name="O_1184405"/>
      <w:bookmarkEnd w:id="3"/>
      <w:r w:rsidRPr="005401AA">
        <w:t>Pre-requisite Unit</w:t>
      </w:r>
    </w:p>
    <w:p w:rsidR="00000000" w:rsidRPr="005401AA" w:rsidP="00CD5023">
      <w:pPr>
        <w:pStyle w:val="BodyText"/>
      </w:pPr>
      <w:r w:rsidRPr="005401AA">
        <w:t>Nil</w:t>
      </w:r>
    </w:p>
    <w:p w:rsidR="00000000" w:rsidRPr="005401AA" w:rsidP="005401AA">
      <w:pPr>
        <w:pStyle w:val="Heading1"/>
      </w:pPr>
      <w:bookmarkStart w:id="4" w:name="O_1184407"/>
      <w:bookmarkEnd w:id="4"/>
      <w:r w:rsidRPr="005401AA">
        <w:t>Unit Sector</w:t>
      </w:r>
    </w:p>
    <w:p w:rsidR="00000000" w:rsidRPr="005401AA" w:rsidP="00CD5023">
      <w:pPr>
        <w:pStyle w:val="BodyText"/>
      </w:pPr>
      <w:r w:rsidRPr="005401AA">
        <w:t>Operational (OPR)</w:t>
      </w:r>
    </w:p>
    <w:p w:rsidR="00000000" w:rsidRPr="005401AA" w:rsidP="005401AA">
      <w:pPr>
        <w:pStyle w:val="Heading1"/>
      </w:pPr>
      <w:bookmarkStart w:id="5" w:name="O_1184408"/>
      <w:bookmarkEnd w:id="5"/>
      <w:r w:rsidRPr="005401A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D5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Performance Criteria</w:t>
            </w:r>
          </w:p>
        </w:tc>
      </w:tr>
      <w:tr w:rsidTr="00CD5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BodyText"/>
            </w:pPr>
            <w:r w:rsidRPr="005401A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D5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BodyText"/>
            </w:pPr>
            <w:r w:rsidRPr="005401AA">
              <w:t>1.1 Confirm materials are available to meet production requirements</w:t>
            </w:r>
          </w:p>
          <w:p w:rsidR="00000000" w:rsidRPr="005401AA" w:rsidP="005401AA">
            <w:pPr>
              <w:pStyle w:val="BodyText"/>
            </w:pPr>
            <w:r w:rsidRPr="005401AA">
              <w:t>1.2 Wear a</w:t>
            </w:r>
            <w:r w:rsidRPr="005401AA">
              <w:t>ppropriate personal protective clothing and ensure correct fit according to health and safety requirements</w:t>
            </w:r>
          </w:p>
          <w:p w:rsidR="00000000" w:rsidRPr="005401AA" w:rsidP="005401AA">
            <w:pPr>
              <w:pStyle w:val="BodyText"/>
            </w:pPr>
            <w:r w:rsidRPr="005401AA">
              <w:t>1.3 Prepare pre-mixes according to product safety and job requirements</w:t>
            </w:r>
          </w:p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1.4 Identify and confirm equipment is clean and not locked out</w:t>
            </w:r>
          </w:p>
        </w:tc>
      </w:tr>
      <w:tr w:rsidTr="00CD5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2. Prepare the mixing or blending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BodyText"/>
            </w:pPr>
            <w:r w:rsidRPr="005401AA">
              <w:t>2.1 Fit machine components and related attachments, and adjust to meet operating requirements</w:t>
            </w:r>
          </w:p>
          <w:p w:rsidR="00000000" w:rsidRPr="005401AA" w:rsidP="005401AA">
            <w:pPr>
              <w:pStyle w:val="BodyText"/>
            </w:pPr>
            <w:r w:rsidRPr="005401AA">
              <w:t>2.2 Enter processing or operating parameters to meet production requirements</w:t>
            </w:r>
          </w:p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2.3 Perform pre</w:t>
            </w:r>
            <w:r w:rsidRPr="005401AA">
              <w:t>-start checks according to operator instructions</w:t>
            </w:r>
          </w:p>
        </w:tc>
      </w:tr>
      <w:tr w:rsidTr="00CD5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BodyText"/>
            </w:pPr>
            <w:r w:rsidRPr="005401AA">
              <w:t>3.1 Deliver ingredients and additives to the mixer in the required quantities and sequence to meet recipe specifications</w:t>
            </w:r>
          </w:p>
          <w:p w:rsidR="00000000" w:rsidRPr="005401AA" w:rsidP="005401AA">
            <w:pPr>
              <w:pStyle w:val="BodyText"/>
            </w:pPr>
            <w:r w:rsidRPr="005401AA">
              <w:t>3.2 Start, operate and monitor the process to ensure</w:t>
            </w:r>
            <w:r w:rsidRPr="005401AA">
              <w:t xml:space="preserve"> optimal operations</w:t>
            </w:r>
          </w:p>
          <w:p w:rsidR="00000000" w:rsidRPr="005401AA" w:rsidP="005401AA">
            <w:pPr>
              <w:pStyle w:val="BodyText"/>
            </w:pPr>
            <w:r w:rsidRPr="005401AA">
              <w:t xml:space="preserve">3.3 Monitor the mixing process to confirm that product meets specifications </w:t>
            </w:r>
          </w:p>
          <w:p w:rsidR="00000000" w:rsidRPr="005401AA" w:rsidP="005401AA">
            <w:pPr>
              <w:pStyle w:val="BodyText"/>
            </w:pPr>
            <w:r w:rsidRPr="005401AA">
              <w:t>3.4 Identify, adjust and report out-of-specification equipment, product or process outcomes according to workplace requirements</w:t>
            </w:r>
          </w:p>
          <w:p w:rsidR="00000000" w:rsidRPr="005401AA" w:rsidP="005401AA">
            <w:pPr>
              <w:pStyle w:val="BodyText"/>
            </w:pPr>
            <w:r w:rsidRPr="005401AA">
              <w:t>3.5 Transfer mix to required pr</w:t>
            </w:r>
            <w:r w:rsidRPr="005401AA">
              <w:t>oduction or storage location according to product safety and workplace procedures</w:t>
            </w:r>
          </w:p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3.6 Apply workplace cleaning procedures and environmental requirements</w:t>
            </w:r>
          </w:p>
        </w:tc>
      </w:tr>
      <w:tr w:rsidTr="00CD50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4. Shut down the mixing or blending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BodyText"/>
            </w:pPr>
            <w:r w:rsidRPr="005401AA">
              <w:t>4.1 Identify the appropriate shutdown procedure</w:t>
            </w:r>
          </w:p>
          <w:p w:rsidR="00000000" w:rsidRPr="005401AA" w:rsidP="005401AA">
            <w:pPr>
              <w:pStyle w:val="BodyText"/>
            </w:pPr>
            <w:r w:rsidRPr="005401AA">
              <w:t>4.2 Shut d</w:t>
            </w:r>
            <w:r w:rsidRPr="005401AA">
              <w:t>own the process safely according to operating procedures</w:t>
            </w:r>
          </w:p>
          <w:p w:rsidR="00000000" w:rsidRPr="005401AA" w:rsidP="005401AA">
            <w:pPr>
              <w:pStyle w:val="BodyText"/>
            </w:pPr>
            <w:r w:rsidRPr="005401AA">
              <w:t>4.3 Identify and report maintenance requirements according to safe work procedures</w:t>
            </w:r>
          </w:p>
          <w:p w:rsidR="00000000" w:rsidRPr="005401AA" w:rsidP="005401AA">
            <w:pPr>
              <w:pStyle w:val="BodyText"/>
            </w:pPr>
            <w:r w:rsidRPr="005401AA">
              <w:t>4.4 Maintain workplace records in required format</w:t>
            </w:r>
          </w:p>
        </w:tc>
      </w:tr>
    </w:tbl>
    <w:p w:rsidR="00000000" w:rsidRPr="005401AA" w:rsidP="005401AA">
      <w:pPr>
        <w:pStyle w:val="BodyText"/>
      </w:pPr>
    </w:p>
    <w:p w:rsidR="00000000" w:rsidRPr="005401AA" w:rsidP="005401AA">
      <w:pPr>
        <w:pStyle w:val="AllowPageBreak"/>
      </w:pPr>
    </w:p>
    <w:p w:rsidR="00000000" w:rsidRPr="005401AA" w:rsidP="005401AA">
      <w:pPr>
        <w:pStyle w:val="Heading1"/>
      </w:pPr>
      <w:bookmarkStart w:id="6" w:name="O_1184409"/>
      <w:bookmarkEnd w:id="6"/>
      <w:r w:rsidRPr="005401AA">
        <w:t>Foundation Skills</w:t>
      </w:r>
    </w:p>
    <w:p w:rsidR="00000000" w:rsidRPr="00CD5023" w:rsidP="00CD5023">
      <w:pPr>
        <w:pStyle w:val="BodyText"/>
        <w:rPr>
          <w:i/>
        </w:rPr>
      </w:pPr>
      <w:r w:rsidRPr="00CD502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4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Bold"/>
              <w:rPr>
                <w:lang w:val="en-NZ"/>
              </w:rPr>
            </w:pPr>
            <w:r w:rsidRPr="005401A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Bold"/>
              <w:rPr>
                <w:lang w:val="en-NZ"/>
              </w:rPr>
            </w:pPr>
            <w:r w:rsidRPr="005401AA">
              <w:t>Description</w:t>
            </w:r>
          </w:p>
        </w:tc>
      </w:tr>
      <w:tr w:rsidTr="0054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ListBullet"/>
            </w:pPr>
            <w:r w:rsidRPr="005401AA">
              <w:t>Interpret workplace and standard ope</w:t>
            </w:r>
            <w:r w:rsidRPr="005401AA">
              <w:t>rating procedures relevant to work task</w:t>
            </w:r>
          </w:p>
          <w:p w:rsidR="00000000" w:rsidP="005401AA">
            <w:pPr>
              <w:pStyle w:val="ListBullet"/>
              <w:rPr>
                <w:lang w:val="en-NZ"/>
              </w:rPr>
            </w:pPr>
            <w:r w:rsidRPr="005401AA">
              <w:t>Interpret production requirements</w:t>
            </w:r>
          </w:p>
        </w:tc>
      </w:tr>
      <w:tr w:rsidTr="0054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ListBullet"/>
            </w:pPr>
            <w:r w:rsidRPr="005401AA">
              <w:t>Record processing data using digital and/or paper-based formats</w:t>
            </w:r>
          </w:p>
          <w:p w:rsidR="00000000" w:rsidP="005401AA">
            <w:pPr>
              <w:pStyle w:val="ListBullet"/>
              <w:rPr>
                <w:lang w:val="en-NZ"/>
              </w:rPr>
            </w:pPr>
            <w:r w:rsidRPr="005401AA">
              <w:t>Accurately label mixes</w:t>
            </w:r>
          </w:p>
        </w:tc>
      </w:tr>
      <w:tr w:rsidTr="0054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ListBullet"/>
            </w:pPr>
            <w:r w:rsidRPr="005401AA">
              <w:t>Weigh (mg, g, kg) and measure (ml, L) ingredients</w:t>
            </w:r>
          </w:p>
          <w:p w:rsidR="00000000" w:rsidRPr="005401AA" w:rsidP="005401AA">
            <w:pPr>
              <w:pStyle w:val="ListBullet"/>
            </w:pPr>
            <w:r w:rsidRPr="005401AA">
              <w:t>Monitor and interpret production and process control indicators and data</w:t>
            </w:r>
          </w:p>
          <w:p w:rsidR="00000000" w:rsidRPr="005401AA" w:rsidP="005401AA">
            <w:pPr>
              <w:pStyle w:val="ListBullet"/>
            </w:pPr>
            <w:r w:rsidRPr="005401AA">
              <w:t>Monitor supply and flow of materials to and from the process</w:t>
            </w:r>
          </w:p>
        </w:tc>
      </w:tr>
    </w:tbl>
    <w:p w:rsidR="00000000" w:rsidRPr="005401AA" w:rsidP="005401AA">
      <w:pPr>
        <w:pStyle w:val="BodyText"/>
      </w:pPr>
    </w:p>
    <w:p w:rsidR="00000000" w:rsidRPr="005401AA" w:rsidP="005401AA">
      <w:pPr>
        <w:pStyle w:val="AllowPageBreak"/>
      </w:pPr>
    </w:p>
    <w:p w:rsidR="00000000" w:rsidRPr="005401AA" w:rsidP="005401AA">
      <w:pPr>
        <w:pStyle w:val="Heading1"/>
      </w:pPr>
      <w:bookmarkStart w:id="7" w:name="O_1184411"/>
      <w:bookmarkEnd w:id="7"/>
      <w:r w:rsidRPr="005401A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4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Bold"/>
              <w:rPr>
                <w:lang w:val="en-NZ"/>
              </w:rPr>
            </w:pPr>
            <w:r w:rsidRPr="005401A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Bold"/>
              <w:rPr>
                <w:lang w:val="en-NZ"/>
              </w:rPr>
            </w:pPr>
            <w:r w:rsidRPr="005401A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Bold"/>
              <w:rPr>
                <w:lang w:val="en-NZ"/>
              </w:rPr>
            </w:pPr>
            <w:r w:rsidRPr="005401A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Bold"/>
              <w:rPr>
                <w:lang w:val="en-NZ"/>
              </w:rPr>
            </w:pPr>
            <w:r w:rsidRPr="005401AA">
              <w:t>Equivalence status</w:t>
            </w:r>
          </w:p>
        </w:tc>
      </w:tr>
      <w:tr w:rsidTr="005401A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FBPOPR2082 Operate a mixing or blending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FBPOPR2028 Operate a mixing or blending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BodyText"/>
            </w:pPr>
            <w:r w:rsidRPr="005401AA">
              <w:t>Minor changes to Performance Criteria to clarify task</w:t>
            </w:r>
          </w:p>
          <w:p w:rsidR="00000000" w:rsidRPr="005401AA" w:rsidP="005401AA">
            <w:pPr>
              <w:pStyle w:val="BodyText"/>
            </w:pPr>
            <w:r w:rsidRPr="005401AA">
              <w:t>Foundation Skills refined</w:t>
            </w:r>
          </w:p>
          <w:p w:rsidR="00000000" w:rsidRPr="005401AA" w:rsidP="005401AA">
            <w:pPr>
              <w:pStyle w:val="BodyText"/>
            </w:pPr>
            <w:r w:rsidRPr="005401AA">
              <w:t>Performance Evidence clarified</w:t>
            </w:r>
          </w:p>
          <w:p w:rsidR="00000000" w:rsidP="005401AA">
            <w:pPr>
              <w:pStyle w:val="BodyText"/>
              <w:rPr>
                <w:lang w:val="en-NZ"/>
              </w:rPr>
            </w:pPr>
            <w:r w:rsidRPr="005401AA">
              <w:t>Minor changes to Knowledge Ev</w:t>
            </w:r>
            <w:r w:rsidRPr="005401AA">
              <w:t xml:space="preserve">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01AA" w:rsidP="005401AA">
            <w:pPr>
              <w:pStyle w:val="BodyText"/>
            </w:pPr>
            <w:r w:rsidRPr="005401AA">
              <w:t xml:space="preserve">Equivalent </w:t>
            </w:r>
          </w:p>
        </w:tc>
      </w:tr>
    </w:tbl>
    <w:p w:rsidR="00000000" w:rsidRPr="005401AA" w:rsidP="005401AA">
      <w:pPr>
        <w:pStyle w:val="BodyText"/>
      </w:pPr>
    </w:p>
    <w:p w:rsidR="00000000" w:rsidRPr="005401AA" w:rsidP="005401AA">
      <w:pPr>
        <w:pStyle w:val="AllowPageBreak"/>
      </w:pPr>
    </w:p>
    <w:p w:rsidR="00000000" w:rsidRPr="005401AA" w:rsidP="005401AA">
      <w:pPr>
        <w:pStyle w:val="Heading1"/>
      </w:pPr>
      <w:bookmarkStart w:id="8" w:name="O_1184418"/>
      <w:bookmarkEnd w:id="8"/>
      <w:r w:rsidRPr="005401AA">
        <w:t>Links</w:t>
      </w:r>
    </w:p>
    <w:p w:rsidR="00000000" w:rsidRPr="005401AA" w:rsidP="00CD5023">
      <w:pPr>
        <w:pStyle w:val="BodyText"/>
      </w:pPr>
      <w:r w:rsidRPr="005401A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0192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401AA" w:rsidP="005401AA"/>
    <w:sectPr w:rsidSect="005401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AA" w:rsidRPr="00CD5023" w:rsidP="00CD50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23" w:rsidP="00540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023" w:rsidP="00540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D5023" w:rsidP="005401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01AA" w:rsidRPr="00CD5023" w:rsidP="00CD50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23" w:rsidRPr="002D2AF8" w:rsidP="00540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FBPOPR2082 Operate a mixing or blending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CD5023" w:rsidP="005401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50A96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6E72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0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0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0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0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0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0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0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0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0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0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0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01AA"/>
  </w:style>
  <w:style w:type="character" w:customStyle="1" w:styleId="Heading1Char">
    <w:name w:val="Heading 1 Char"/>
    <w:basedOn w:val="DefaultParagraphFont"/>
    <w:link w:val="Heading1"/>
    <w:rsid w:val="00540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01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01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01A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401AA"/>
    <w:rPr>
      <w:i/>
    </w:rPr>
  </w:style>
  <w:style w:type="paragraph" w:customStyle="1" w:styleId="SuperHeading">
    <w:name w:val="SuperHeading"/>
    <w:basedOn w:val="Normal"/>
    <w:rsid w:val="005401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0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401AA"/>
    <w:rPr>
      <w:b/>
    </w:rPr>
  </w:style>
  <w:style w:type="character" w:customStyle="1" w:styleId="Heading2Char">
    <w:name w:val="Heading 2 Char"/>
    <w:basedOn w:val="DefaultParagraphFont"/>
    <w:link w:val="Heading2"/>
    <w:rsid w:val="00540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0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0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0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0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0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01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01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0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0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0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0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0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0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01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0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0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0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01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0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01AA"/>
    <w:rPr>
      <w:b/>
      <w:spacing w:val="0"/>
    </w:rPr>
  </w:style>
  <w:style w:type="paragraph" w:customStyle="1" w:styleId="SuperTitle">
    <w:name w:val="SuperTitle"/>
    <w:basedOn w:val="Title"/>
    <w:rsid w:val="00540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0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0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0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0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01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0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0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0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0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0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0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01A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0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0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0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01AA"/>
  </w:style>
  <w:style w:type="paragraph" w:styleId="TableofFigures">
    <w:name w:val="table of figures"/>
    <w:basedOn w:val="Normal"/>
    <w:next w:val="Normal"/>
    <w:semiHidden/>
    <w:rsid w:val="00540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01A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401AA"/>
    <w:rPr>
      <w:rFonts w:ascii="Wingdings" w:hAnsi="Wingdings"/>
    </w:rPr>
  </w:style>
  <w:style w:type="paragraph" w:customStyle="1" w:styleId="TableHeading">
    <w:name w:val="Table Heading"/>
    <w:basedOn w:val="HeadingBase"/>
    <w:rsid w:val="00540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01AA"/>
    <w:rPr>
      <w:color w:val="0033CC"/>
      <w:u w:val="none"/>
    </w:rPr>
  </w:style>
  <w:style w:type="paragraph" w:customStyle="1" w:styleId="BodyTextRight">
    <w:name w:val="Body Text Right"/>
    <w:basedOn w:val="BodyText"/>
    <w:rsid w:val="00540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0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01A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0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0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01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01AA"/>
    <w:rPr>
      <w:sz w:val="32"/>
    </w:rPr>
  </w:style>
  <w:style w:type="paragraph" w:customStyle="1" w:styleId="HeadingProcedure">
    <w:name w:val="Heading Procedure"/>
    <w:basedOn w:val="HeadingBase"/>
    <w:next w:val="Normal"/>
    <w:rsid w:val="00540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01AA"/>
    <w:pPr>
      <w:spacing w:before="60" w:after="60"/>
    </w:pPr>
  </w:style>
  <w:style w:type="paragraph" w:styleId="ListContinue">
    <w:name w:val="List Continue"/>
    <w:basedOn w:val="List"/>
    <w:rsid w:val="005401AA"/>
    <w:pPr>
      <w:ind w:firstLine="0"/>
    </w:pPr>
  </w:style>
  <w:style w:type="paragraph" w:customStyle="1" w:styleId="ListNote">
    <w:name w:val="List Note"/>
    <w:basedOn w:val="List"/>
    <w:rsid w:val="00540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0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0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01AA"/>
    <w:rPr>
      <w:rFonts w:ascii="Courier New" w:hAnsi="Courier New"/>
    </w:rPr>
  </w:style>
  <w:style w:type="paragraph" w:customStyle="1" w:styleId="NoteBullet">
    <w:name w:val="Note Bullet"/>
    <w:basedOn w:val="Note"/>
    <w:rsid w:val="00540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0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0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0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0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0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01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01AA"/>
    <w:rPr>
      <w:b/>
      <w:smallCaps/>
    </w:rPr>
  </w:style>
  <w:style w:type="paragraph" w:customStyle="1" w:styleId="TableListNumber">
    <w:name w:val="Table List Number"/>
    <w:basedOn w:val="ListNumber"/>
    <w:rsid w:val="00540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0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01AA"/>
    <w:pPr>
      <w:numPr>
        <w:numId w:val="8"/>
      </w:numPr>
    </w:pPr>
  </w:style>
  <w:style w:type="paragraph" w:customStyle="1" w:styleId="ListAlpha2">
    <w:name w:val="List Alpha 2"/>
    <w:basedOn w:val="List2"/>
    <w:rsid w:val="005401AA"/>
    <w:pPr>
      <w:numPr>
        <w:numId w:val="7"/>
      </w:numPr>
    </w:pPr>
  </w:style>
  <w:style w:type="paragraph" w:styleId="List2">
    <w:name w:val="List 2"/>
    <w:basedOn w:val="BodyText"/>
    <w:rsid w:val="00540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0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0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0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0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01A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401AA"/>
    <w:pPr>
      <w:numPr>
        <w:numId w:val="3"/>
      </w:numPr>
    </w:pPr>
  </w:style>
  <w:style w:type="paragraph" w:styleId="ListContinue2">
    <w:name w:val="List Continue 2"/>
    <w:basedOn w:val="List2"/>
    <w:rsid w:val="005401AA"/>
    <w:pPr>
      <w:ind w:firstLine="0"/>
    </w:pPr>
  </w:style>
  <w:style w:type="paragraph" w:styleId="ListContinue3">
    <w:name w:val="List Continue 3"/>
    <w:basedOn w:val="List3"/>
    <w:rsid w:val="005401AA"/>
    <w:pPr>
      <w:ind w:left="1021" w:firstLine="0"/>
    </w:pPr>
  </w:style>
  <w:style w:type="paragraph" w:styleId="ListContinue4">
    <w:name w:val="List Continue 4"/>
    <w:basedOn w:val="List4"/>
    <w:rsid w:val="005401AA"/>
    <w:pPr>
      <w:ind w:firstLine="0"/>
    </w:pPr>
  </w:style>
  <w:style w:type="paragraph" w:styleId="ListContinue5">
    <w:name w:val="List Continue 5"/>
    <w:basedOn w:val="List5"/>
    <w:rsid w:val="005401AA"/>
    <w:pPr>
      <w:ind w:firstLine="0"/>
    </w:pPr>
  </w:style>
  <w:style w:type="paragraph" w:styleId="ListNumber3">
    <w:name w:val="List Number 3"/>
    <w:basedOn w:val="List3"/>
    <w:rsid w:val="005401AA"/>
    <w:pPr>
      <w:numPr>
        <w:numId w:val="4"/>
      </w:numPr>
    </w:pPr>
  </w:style>
  <w:style w:type="paragraph" w:styleId="ListNumber4">
    <w:name w:val="List Number 4"/>
    <w:basedOn w:val="List4"/>
    <w:rsid w:val="005401AA"/>
    <w:pPr>
      <w:numPr>
        <w:numId w:val="5"/>
      </w:numPr>
    </w:pPr>
  </w:style>
  <w:style w:type="paragraph" w:styleId="ListNumber5">
    <w:name w:val="List Number 5"/>
    <w:basedOn w:val="List5"/>
    <w:rsid w:val="005401AA"/>
    <w:pPr>
      <w:numPr>
        <w:numId w:val="6"/>
      </w:numPr>
    </w:pPr>
  </w:style>
  <w:style w:type="paragraph" w:styleId="BlockText">
    <w:name w:val="Block Text"/>
    <w:basedOn w:val="Normal"/>
    <w:rsid w:val="00540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0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01AA"/>
    <w:rPr>
      <w:sz w:val="16"/>
      <w:vertAlign w:val="superscript"/>
    </w:rPr>
  </w:style>
  <w:style w:type="character" w:customStyle="1" w:styleId="Symbols">
    <w:name w:val="Symbols"/>
    <w:basedOn w:val="DefaultParagraphFont"/>
    <w:rsid w:val="005401AA"/>
    <w:rPr>
      <w:rFonts w:ascii="Symbol" w:hAnsi="Symbol"/>
    </w:rPr>
  </w:style>
  <w:style w:type="character" w:customStyle="1" w:styleId="MenuOptions">
    <w:name w:val="Menu Options"/>
    <w:basedOn w:val="DefaultParagraphFont"/>
    <w:rsid w:val="00540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01AA"/>
    <w:rPr>
      <w:b/>
    </w:rPr>
  </w:style>
  <w:style w:type="character" w:customStyle="1" w:styleId="Underlined">
    <w:name w:val="Underlined"/>
    <w:basedOn w:val="DefaultParagraphFont"/>
    <w:rsid w:val="005401AA"/>
    <w:rPr>
      <w:u w:val="single"/>
    </w:rPr>
  </w:style>
  <w:style w:type="paragraph" w:customStyle="1" w:styleId="TableBodyTextRight">
    <w:name w:val="Table Body Text Right"/>
    <w:basedOn w:val="TableBodyText"/>
    <w:rsid w:val="00540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01AA"/>
    <w:rPr>
      <w:sz w:val="18"/>
    </w:rPr>
  </w:style>
  <w:style w:type="paragraph" w:customStyle="1" w:styleId="BodySmallRight">
    <w:name w:val="Body Small Right"/>
    <w:basedOn w:val="BodyTextRight"/>
    <w:rsid w:val="005401AA"/>
    <w:rPr>
      <w:sz w:val="18"/>
      <w:szCs w:val="18"/>
    </w:rPr>
  </w:style>
  <w:style w:type="paragraph" w:customStyle="1" w:styleId="MarginEdition">
    <w:name w:val="Margin Edition"/>
    <w:basedOn w:val="MarginNote"/>
    <w:rsid w:val="00540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01AA"/>
    <w:rPr>
      <w:sz w:val="2"/>
      <w:szCs w:val="2"/>
    </w:rPr>
  </w:style>
  <w:style w:type="character" w:customStyle="1" w:styleId="Small">
    <w:name w:val="Small"/>
    <w:basedOn w:val="DefaultParagraphFont"/>
    <w:rsid w:val="005401AA"/>
    <w:rPr>
      <w:sz w:val="16"/>
    </w:rPr>
  </w:style>
  <w:style w:type="paragraph" w:customStyle="1" w:styleId="WideTable">
    <w:name w:val="Wide Table"/>
    <w:basedOn w:val="Normal"/>
    <w:rsid w:val="00540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01AA"/>
  </w:style>
  <w:style w:type="paragraph" w:styleId="Quote">
    <w:name w:val="Quote"/>
    <w:basedOn w:val="Heading1"/>
    <w:link w:val="QuoteChar"/>
    <w:qFormat/>
    <w:rsid w:val="00540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0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01AA"/>
    <w:pPr>
      <w:pageBreakBefore/>
    </w:pPr>
  </w:style>
  <w:style w:type="paragraph" w:customStyle="1" w:styleId="Border">
    <w:name w:val="Border"/>
    <w:basedOn w:val="Normal"/>
    <w:qFormat/>
    <w:rsid w:val="00540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0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0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01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0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0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0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0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0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01AA"/>
    <w:rPr>
      <w:u w:val="single"/>
    </w:rPr>
  </w:style>
  <w:style w:type="character" w:customStyle="1" w:styleId="BoldandItalics">
    <w:name w:val="Bold and Italics"/>
    <w:qFormat/>
    <w:rsid w:val="005401AA"/>
    <w:rPr>
      <w:b/>
      <w:i/>
      <w:u w:val="none"/>
    </w:rPr>
  </w:style>
  <w:style w:type="paragraph" w:styleId="BalloonText">
    <w:name w:val="Balloon Text"/>
    <w:basedOn w:val="Normal"/>
    <w:link w:val="BalloonTextChar"/>
    <w:rsid w:val="00540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01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01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01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01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01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01A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5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3788</Characters>
  <Application>Microsoft Office Word</Application>
  <DocSecurity>0</DocSecurity>
  <Lines>135</Lines>
  <Paragraphs>86</Paragraphs>
  <ScaleCrop>false</ScaleCrop>
  <Company>Author-it Software Corporation Ltd.</Company>
  <LinksUpToDate>false</LinksUpToDate>
  <CharactersWithSpaces>4306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FBPOPR2082 Operate a mixing or blending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2023-01-26T22:04:00Z</dcterms:created>
  <dcterms:modified xsi:type="dcterms:W3CDTF">2023-01-26T22:04:00Z</dcterms:modified>
</cp:coreProperties>
</file>