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E1E" w:rsidP="00506E1E">
      <w:pPr>
        <w:pStyle w:val="Title"/>
      </w:pPr>
      <w:r>
        <w:fldChar w:fldCharType="begin"/>
      </w:r>
      <w:r>
        <w:instrText xml:space="preserve"> TITLE   \* MERGEFORMAT </w:instrText>
      </w:r>
      <w:r>
        <w:fldChar w:fldCharType="separate"/>
      </w:r>
      <w:r>
        <w:t>FBPOPR2082 Operate a mixing or blending process</w:t>
      </w:r>
      <w:r>
        <w:fldChar w:fldCharType="end"/>
      </w:r>
    </w:p>
    <w:p w:rsidR="00506E1E" w:rsidP="00506E1E">
      <w:pPr>
        <w:pStyle w:val="Version"/>
        <w:sectPr w:rsidSect="003C2D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2DFB" w:rsidP="003C2DFB">
      <w:pPr>
        <w:pStyle w:val="SuperHeading"/>
      </w:pPr>
      <w:r w:rsidRPr="003C2DFB">
        <w:t>FBPOPR2082 Operate a mixing or blending process</w:t>
      </w:r>
    </w:p>
    <w:p w:rsidR="00000000" w:rsidRPr="003C2DFB" w:rsidP="003C2DFB">
      <w:pPr>
        <w:pStyle w:val="Heading1"/>
      </w:pPr>
      <w:bookmarkStart w:id="1" w:name="O_1184403"/>
      <w:bookmarkEnd w:id="1"/>
      <w:r w:rsidRPr="003C2DFB">
        <w:t>Modification History</w:t>
      </w:r>
    </w:p>
    <w:tbl>
      <w:tblPr>
        <w:tblW w:w="9520" w:type="dxa"/>
        <w:tblLayout w:type="fixed"/>
        <w:tblCellMar>
          <w:left w:w="62" w:type="dxa"/>
          <w:right w:w="62" w:type="dxa"/>
        </w:tblCellMar>
        <w:tblLook w:val="0000"/>
      </w:tblPr>
      <w:tblGrid>
        <w:gridCol w:w="2581"/>
        <w:gridCol w:w="6939"/>
      </w:tblGrid>
      <w:tr w:rsidTr="003C2D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Comments</w:t>
            </w:r>
          </w:p>
        </w:tc>
      </w:tr>
      <w:tr w:rsidTr="003C2D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This version released with FBP Food, Beverage and Pharmaceutical Training Package Version 6.0.</w:t>
            </w:r>
          </w:p>
        </w:tc>
      </w:tr>
    </w:tbl>
    <w:p w:rsidR="00000000" w:rsidRPr="003C2DFB" w:rsidP="003C2DFB">
      <w:pPr>
        <w:pStyle w:val="BodyText"/>
      </w:pPr>
    </w:p>
    <w:p w:rsidR="00000000" w:rsidRPr="003C2DFB" w:rsidP="003C2DFB">
      <w:pPr>
        <w:pStyle w:val="AllowPageBreak"/>
      </w:pPr>
    </w:p>
    <w:p w:rsidR="00000000" w:rsidRPr="003C2DFB" w:rsidP="003C2DFB">
      <w:pPr>
        <w:pStyle w:val="Heading1"/>
      </w:pPr>
      <w:bookmarkStart w:id="2" w:name="O_1184404"/>
      <w:bookmarkEnd w:id="2"/>
      <w:r w:rsidRPr="003C2DFB">
        <w:t>Application</w:t>
      </w:r>
    </w:p>
    <w:p w:rsidR="00000000" w:rsidRPr="003C2DFB" w:rsidP="00506E1E">
      <w:pPr>
        <w:pStyle w:val="BodyText"/>
      </w:pPr>
      <w:r w:rsidRPr="003C2DFB">
        <w:t>This unit of competency describes the skills and knowledge required to</w:t>
      </w:r>
      <w:r w:rsidRPr="003C2DFB">
        <w:t xml:space="preserve"> combine ingredients and additives in the correct quantities and sequence, and to operate and shut down mixing and blending equipment to achieve the required mix characteristics.</w:t>
      </w:r>
    </w:p>
    <w:p w:rsidR="00000000" w:rsidRPr="003C2DFB" w:rsidP="00506E1E">
      <w:pPr>
        <w:pStyle w:val="BodyText"/>
      </w:pPr>
      <w:r w:rsidRPr="003C2DFB">
        <w:t>This unit applies to individuals who work under general supervision in a proc</w:t>
      </w:r>
      <w:r w:rsidRPr="003C2DFB">
        <w:t>essing industry. Mixes may include concentrated pre-mixes or bulk blends. The output of this process may be a product requiring further processing or for external use.</w:t>
      </w:r>
    </w:p>
    <w:p w:rsidR="00000000" w:rsidRPr="003C2DFB" w:rsidP="00506E1E">
      <w:pPr>
        <w:pStyle w:val="BodyText"/>
      </w:pPr>
      <w:r w:rsidRPr="003C2DFB">
        <w:t>This unit should not be delivered in a qualification with FBPOPR2087 Operate a mixing or</w:t>
      </w:r>
      <w:r w:rsidRPr="003C2DFB">
        <w:t xml:space="preserve"> blending and cooking process</w:t>
      </w:r>
    </w:p>
    <w:p w:rsidR="00000000" w:rsidRPr="003C2DFB" w:rsidP="00506E1E">
      <w:pPr>
        <w:pStyle w:val="BodyText"/>
      </w:pPr>
      <w:r w:rsidRPr="003C2DFB">
        <w:t>All work must be carried out to comply with workplace procedures according to state/territory health and safety, environmental regulations, legislation and standards that apply to the workplace.</w:t>
      </w:r>
    </w:p>
    <w:p w:rsidR="00000000" w:rsidRPr="003C2DFB" w:rsidP="00506E1E">
      <w:pPr>
        <w:pStyle w:val="BodyText"/>
      </w:pPr>
      <w:r w:rsidRPr="003C2DFB">
        <w:t>No licensing, legislative or ce</w:t>
      </w:r>
      <w:r w:rsidRPr="003C2DFB">
        <w:t>rtification requirements apply to this unit at the time of publication.</w:t>
      </w:r>
    </w:p>
    <w:p w:rsidR="00000000" w:rsidRPr="003C2DFB" w:rsidP="003C2DFB">
      <w:pPr>
        <w:pStyle w:val="Heading1"/>
      </w:pPr>
      <w:bookmarkStart w:id="3" w:name="O_1184405"/>
      <w:bookmarkEnd w:id="3"/>
      <w:r w:rsidRPr="003C2DFB">
        <w:t>Pre-requisite Unit</w:t>
      </w:r>
    </w:p>
    <w:p w:rsidR="00000000" w:rsidRPr="003C2DFB" w:rsidP="00506E1E">
      <w:pPr>
        <w:pStyle w:val="BodyText"/>
      </w:pPr>
      <w:r w:rsidRPr="003C2DFB">
        <w:t>Nil</w:t>
      </w:r>
    </w:p>
    <w:p w:rsidR="00000000" w:rsidRPr="003C2DFB" w:rsidP="003C2DFB">
      <w:pPr>
        <w:pStyle w:val="Heading1"/>
      </w:pPr>
      <w:bookmarkStart w:id="4" w:name="O_1184407"/>
      <w:bookmarkEnd w:id="4"/>
      <w:r w:rsidRPr="003C2DFB">
        <w:t>Unit Sector</w:t>
      </w:r>
    </w:p>
    <w:p w:rsidR="00000000" w:rsidRPr="003C2DFB" w:rsidP="00506E1E">
      <w:pPr>
        <w:pStyle w:val="BodyText"/>
      </w:pPr>
      <w:r w:rsidRPr="003C2DFB">
        <w:t>Operational (OPR)</w:t>
      </w:r>
    </w:p>
    <w:p w:rsidR="00000000" w:rsidRPr="003C2DFB" w:rsidP="003C2DFB">
      <w:pPr>
        <w:pStyle w:val="Heading1"/>
      </w:pPr>
      <w:bookmarkStart w:id="5" w:name="O_1184408"/>
      <w:bookmarkEnd w:id="5"/>
      <w:r w:rsidRPr="003C2DFB">
        <w:t>Elements and Performance Criteria</w:t>
      </w:r>
    </w:p>
    <w:tbl>
      <w:tblPr>
        <w:tblW w:w="9520" w:type="dxa"/>
        <w:tblLayout w:type="fixed"/>
        <w:tblCellMar>
          <w:left w:w="62" w:type="dxa"/>
          <w:right w:w="62" w:type="dxa"/>
        </w:tblCellMar>
        <w:tblLook w:val="0000"/>
      </w:tblPr>
      <w:tblGrid>
        <w:gridCol w:w="2580"/>
        <w:gridCol w:w="6940"/>
      </w:tblGrid>
      <w:tr w:rsidTr="00506E1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DFB">
            <w:pPr>
              <w:pStyle w:val="BodyText"/>
              <w:rPr>
                <w:lang w:val="en-NZ"/>
              </w:rPr>
            </w:pPr>
            <w:r w:rsidRPr="003C2DF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2DFB">
            <w:pPr>
              <w:pStyle w:val="BodyText"/>
              <w:rPr>
                <w:lang w:val="en-NZ"/>
              </w:rPr>
            </w:pPr>
            <w:r w:rsidRPr="003C2DFB">
              <w:t>Performance Criteria</w:t>
            </w:r>
          </w:p>
        </w:tc>
      </w:tr>
      <w:tr w:rsidTr="00506E1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rPr>
                <w:rStyle w:val="Emphasis"/>
              </w:rPr>
              <w:t>Performance criteria describe the performance needed to demonstrate achievement of the element.</w:t>
            </w:r>
          </w:p>
        </w:tc>
      </w:tr>
      <w:tr w:rsidTr="00506E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1.1 Confirm materials are available to meet production requirements</w:t>
            </w:r>
          </w:p>
          <w:p w:rsidR="00000000" w:rsidRPr="003C2DFB" w:rsidP="003C2DFB">
            <w:pPr>
              <w:pStyle w:val="BodyText"/>
            </w:pPr>
            <w:r w:rsidRPr="003C2DFB">
              <w:t>1.2 Wear a</w:t>
            </w:r>
            <w:r w:rsidRPr="003C2DFB">
              <w:t>ppropriate personal protective clothing and ensure correct fit according to health and safety requirements</w:t>
            </w:r>
          </w:p>
          <w:p w:rsidR="00000000" w:rsidRPr="003C2DFB" w:rsidP="003C2DFB">
            <w:pPr>
              <w:pStyle w:val="BodyText"/>
            </w:pPr>
            <w:r w:rsidRPr="003C2DFB">
              <w:t>1.3 Prepare pre-mixes according to product safety and job requirements</w:t>
            </w:r>
          </w:p>
          <w:p w:rsidR="00000000" w:rsidP="003C2DFB">
            <w:pPr>
              <w:pStyle w:val="BodyText"/>
              <w:rPr>
                <w:lang w:val="en-NZ"/>
              </w:rPr>
            </w:pPr>
            <w:r w:rsidRPr="003C2DFB">
              <w:t>1.4 Identify and confirm equipment is clean and not locked out</w:t>
            </w:r>
          </w:p>
        </w:tc>
      </w:tr>
      <w:tr w:rsidTr="00506E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2. Prepare the mixing or blending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2.1 Fit machine components and related attachments, and adjust to meet operating requirements</w:t>
            </w:r>
          </w:p>
          <w:p w:rsidR="00000000" w:rsidRPr="003C2DFB" w:rsidP="003C2DFB">
            <w:pPr>
              <w:pStyle w:val="BodyText"/>
            </w:pPr>
            <w:r w:rsidRPr="003C2DFB">
              <w:t>2.2 Enter processing or operating parameters to meet production requirements</w:t>
            </w:r>
          </w:p>
          <w:p w:rsidR="00000000" w:rsidP="003C2DFB">
            <w:pPr>
              <w:pStyle w:val="BodyText"/>
              <w:rPr>
                <w:lang w:val="en-NZ"/>
              </w:rPr>
            </w:pPr>
            <w:r w:rsidRPr="003C2DFB">
              <w:t>2.3 Perform pre</w:t>
            </w:r>
            <w:r w:rsidRPr="003C2DFB">
              <w:t>-start checks according to operator instructions</w:t>
            </w:r>
          </w:p>
        </w:tc>
      </w:tr>
      <w:tr w:rsidTr="00506E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3.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3.1 Deliver ingredients and additives to the mixer in the required quantities and sequence to meet recipe specifications</w:t>
            </w:r>
          </w:p>
          <w:p w:rsidR="00000000" w:rsidRPr="003C2DFB" w:rsidP="003C2DFB">
            <w:pPr>
              <w:pStyle w:val="BodyText"/>
            </w:pPr>
            <w:r w:rsidRPr="003C2DFB">
              <w:t>3.2 Start, operate and monitor the process to ensure</w:t>
            </w:r>
            <w:r w:rsidRPr="003C2DFB">
              <w:t xml:space="preserve"> optimal operations</w:t>
            </w:r>
          </w:p>
          <w:p w:rsidR="00000000" w:rsidRPr="003C2DFB" w:rsidP="003C2DFB">
            <w:pPr>
              <w:pStyle w:val="BodyText"/>
            </w:pPr>
            <w:r w:rsidRPr="003C2DFB">
              <w:t xml:space="preserve">3.3 Monitor the mixing process to confirm that product meets specifications </w:t>
            </w:r>
          </w:p>
          <w:p w:rsidR="00000000" w:rsidRPr="003C2DFB" w:rsidP="003C2DFB">
            <w:pPr>
              <w:pStyle w:val="BodyText"/>
            </w:pPr>
            <w:r w:rsidRPr="003C2DFB">
              <w:t>3.4 Identify, adjust and report out-of-specification equipment, product or process outcomes according to workplace requirements</w:t>
            </w:r>
          </w:p>
          <w:p w:rsidR="00000000" w:rsidRPr="003C2DFB" w:rsidP="003C2DFB">
            <w:pPr>
              <w:pStyle w:val="BodyText"/>
            </w:pPr>
            <w:r w:rsidRPr="003C2DFB">
              <w:t>3.5 Transfer mix to required pr</w:t>
            </w:r>
            <w:r w:rsidRPr="003C2DFB">
              <w:t>oduction or storage location according to product safety and workplace procedures</w:t>
            </w:r>
          </w:p>
          <w:p w:rsidR="00000000" w:rsidP="003C2DFB">
            <w:pPr>
              <w:pStyle w:val="BodyText"/>
              <w:rPr>
                <w:lang w:val="en-NZ"/>
              </w:rPr>
            </w:pPr>
            <w:r w:rsidRPr="003C2DFB">
              <w:t>3.6 Apply workplace cleaning procedures and environmental requirements</w:t>
            </w:r>
          </w:p>
        </w:tc>
      </w:tr>
      <w:tr w:rsidTr="00506E1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4. Shut down the mixing or blending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4.1 Identify the appropriate shutdown procedure</w:t>
            </w:r>
          </w:p>
          <w:p w:rsidR="00000000" w:rsidRPr="003C2DFB" w:rsidP="003C2DFB">
            <w:pPr>
              <w:pStyle w:val="BodyText"/>
            </w:pPr>
            <w:r w:rsidRPr="003C2DFB">
              <w:t>4.2 Shut d</w:t>
            </w:r>
            <w:r w:rsidRPr="003C2DFB">
              <w:t>own the process safely according to operating procedures</w:t>
            </w:r>
          </w:p>
          <w:p w:rsidR="00000000" w:rsidRPr="003C2DFB" w:rsidP="003C2DFB">
            <w:pPr>
              <w:pStyle w:val="BodyText"/>
            </w:pPr>
            <w:r w:rsidRPr="003C2DFB">
              <w:t>4.3 Identify and report maintenance requirements according to safe work procedures</w:t>
            </w:r>
          </w:p>
          <w:p w:rsidR="00000000" w:rsidRPr="003C2DFB" w:rsidP="003C2DFB">
            <w:pPr>
              <w:pStyle w:val="BodyText"/>
            </w:pPr>
            <w:r w:rsidRPr="003C2DFB">
              <w:t>4.4 Maintain workplace records in required format</w:t>
            </w:r>
          </w:p>
        </w:tc>
      </w:tr>
    </w:tbl>
    <w:p w:rsidR="00000000" w:rsidRPr="003C2DFB" w:rsidP="003C2DFB">
      <w:pPr>
        <w:pStyle w:val="BodyText"/>
      </w:pPr>
    </w:p>
    <w:p w:rsidR="00000000" w:rsidRPr="003C2DFB" w:rsidP="003C2DFB">
      <w:pPr>
        <w:pStyle w:val="AllowPageBreak"/>
      </w:pPr>
    </w:p>
    <w:p w:rsidR="00000000" w:rsidRPr="003C2DFB" w:rsidP="003C2DFB">
      <w:pPr>
        <w:pStyle w:val="Heading1"/>
      </w:pPr>
      <w:bookmarkStart w:id="6" w:name="O_1184409"/>
      <w:bookmarkEnd w:id="6"/>
      <w:r w:rsidRPr="003C2DFB">
        <w:t>Foundation Skills</w:t>
      </w:r>
    </w:p>
    <w:p w:rsidR="00000000" w:rsidRPr="00506E1E" w:rsidP="00506E1E">
      <w:pPr>
        <w:pStyle w:val="BodyText"/>
        <w:rPr>
          <w:i/>
        </w:rPr>
      </w:pPr>
      <w:r w:rsidRPr="00506E1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C2DF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Description</w:t>
            </w:r>
          </w:p>
        </w:tc>
      </w:tr>
      <w:tr w:rsidTr="003C2D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ListBullet"/>
            </w:pPr>
            <w:r w:rsidRPr="003C2DFB">
              <w:t>Interpret workplace and standard ope</w:t>
            </w:r>
            <w:r w:rsidRPr="003C2DFB">
              <w:t>rating procedures relevant to work task</w:t>
            </w:r>
          </w:p>
          <w:p w:rsidR="00000000" w:rsidP="003C2DFB">
            <w:pPr>
              <w:pStyle w:val="ListBullet"/>
              <w:rPr>
                <w:lang w:val="en-NZ"/>
              </w:rPr>
            </w:pPr>
            <w:r w:rsidRPr="003C2DFB">
              <w:t>Interpret production requirements</w:t>
            </w:r>
          </w:p>
        </w:tc>
      </w:tr>
      <w:tr w:rsidTr="003C2D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ListBullet"/>
            </w:pPr>
            <w:r w:rsidRPr="003C2DFB">
              <w:t>Record processing data using digital and/or paper-based formats</w:t>
            </w:r>
          </w:p>
          <w:p w:rsidR="00000000" w:rsidP="003C2DFB">
            <w:pPr>
              <w:pStyle w:val="ListBullet"/>
              <w:rPr>
                <w:lang w:val="en-NZ"/>
              </w:rPr>
            </w:pPr>
            <w:r w:rsidRPr="003C2DFB">
              <w:t>Accurately label mixes</w:t>
            </w:r>
          </w:p>
        </w:tc>
      </w:tr>
      <w:tr w:rsidTr="003C2DF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ListBullet"/>
            </w:pPr>
            <w:r w:rsidRPr="003C2DFB">
              <w:t>Weigh (mg, g, kg) and measure (ml, L) ingredients</w:t>
            </w:r>
          </w:p>
          <w:p w:rsidR="00000000" w:rsidRPr="003C2DFB" w:rsidP="003C2DFB">
            <w:pPr>
              <w:pStyle w:val="ListBullet"/>
            </w:pPr>
            <w:r w:rsidRPr="003C2DFB">
              <w:t>Monitor and interpret production and process control indicators and data</w:t>
            </w:r>
          </w:p>
          <w:p w:rsidR="00000000" w:rsidRPr="003C2DFB" w:rsidP="003C2DFB">
            <w:pPr>
              <w:pStyle w:val="ListBullet"/>
            </w:pPr>
            <w:r w:rsidRPr="003C2DFB">
              <w:t>Monitor supply and flow of materials to and from the process</w:t>
            </w:r>
          </w:p>
        </w:tc>
      </w:tr>
    </w:tbl>
    <w:p w:rsidR="00000000" w:rsidRPr="003C2DFB" w:rsidP="003C2DFB">
      <w:pPr>
        <w:pStyle w:val="BodyText"/>
      </w:pPr>
    </w:p>
    <w:p w:rsidR="00000000" w:rsidRPr="003C2DFB" w:rsidP="003C2DFB">
      <w:pPr>
        <w:pStyle w:val="AllowPageBreak"/>
      </w:pPr>
    </w:p>
    <w:p w:rsidR="00000000" w:rsidRPr="003C2DFB" w:rsidP="003C2DFB">
      <w:pPr>
        <w:pStyle w:val="Heading1"/>
      </w:pPr>
      <w:bookmarkStart w:id="7" w:name="O_1184411"/>
      <w:bookmarkEnd w:id="7"/>
      <w:r w:rsidRPr="003C2DFB">
        <w:t>Unit Mapping Information</w:t>
      </w:r>
    </w:p>
    <w:tbl>
      <w:tblPr>
        <w:tblW w:w="9520" w:type="dxa"/>
        <w:tblLayout w:type="fixed"/>
        <w:tblCellMar>
          <w:left w:w="62" w:type="dxa"/>
          <w:right w:w="62" w:type="dxa"/>
        </w:tblCellMar>
        <w:tblLook w:val="0000"/>
      </w:tblPr>
      <w:tblGrid>
        <w:gridCol w:w="2268"/>
        <w:gridCol w:w="2268"/>
        <w:gridCol w:w="2716"/>
        <w:gridCol w:w="2268"/>
      </w:tblGrid>
      <w:tr w:rsidTr="003C2DF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Equivalence status</w:t>
            </w:r>
          </w:p>
        </w:tc>
      </w:tr>
      <w:tr w:rsidTr="003C2DF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FBPOPR2082 Operate a mixing or blending process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FBPOPR2028 Operate a mixing or blending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Minor changes to Performance Criteria to clarify task</w:t>
            </w:r>
          </w:p>
          <w:p w:rsidR="00000000" w:rsidRPr="003C2DFB" w:rsidP="003C2DFB">
            <w:pPr>
              <w:pStyle w:val="BodyText"/>
            </w:pPr>
            <w:r w:rsidRPr="003C2DFB">
              <w:t>Foundation Skills refined</w:t>
            </w:r>
          </w:p>
          <w:p w:rsidR="00000000" w:rsidRPr="003C2DFB" w:rsidP="003C2DFB">
            <w:pPr>
              <w:pStyle w:val="BodyText"/>
            </w:pPr>
            <w:r w:rsidRPr="003C2DFB">
              <w:t>Performance Evidence clarified</w:t>
            </w:r>
          </w:p>
          <w:p w:rsidR="00000000" w:rsidP="003C2DFB">
            <w:pPr>
              <w:pStyle w:val="BodyText"/>
              <w:rPr>
                <w:lang w:val="en-NZ"/>
              </w:rPr>
            </w:pPr>
            <w:r w:rsidRPr="003C2DFB">
              <w:t>Minor changes to Knowledge Ev</w:t>
            </w:r>
            <w:r w:rsidRPr="003C2DFB">
              <w:t xml:space="preserve">idence and Assessment Conditions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 xml:space="preserve">Equivalent </w:t>
            </w:r>
          </w:p>
        </w:tc>
      </w:tr>
    </w:tbl>
    <w:p w:rsidR="00000000" w:rsidRPr="003C2DFB" w:rsidP="003C2DFB">
      <w:pPr>
        <w:pStyle w:val="BodyText"/>
      </w:pPr>
    </w:p>
    <w:p w:rsidR="00000000" w:rsidRPr="003C2DFB" w:rsidP="003C2DFB">
      <w:pPr>
        <w:pStyle w:val="AllowPageBreak"/>
      </w:pPr>
    </w:p>
    <w:p w:rsidR="00000000" w:rsidRPr="003C2DFB" w:rsidP="003C2DFB">
      <w:pPr>
        <w:pStyle w:val="Heading1"/>
      </w:pPr>
      <w:bookmarkStart w:id="8" w:name="O_1184418"/>
      <w:bookmarkEnd w:id="8"/>
      <w:r w:rsidRPr="003C2DFB">
        <w:t>Links</w:t>
      </w:r>
    </w:p>
    <w:p w:rsidR="00000000" w:rsidRPr="003C2DFB" w:rsidP="00506E1E">
      <w:pPr>
        <w:pStyle w:val="BodyText"/>
      </w:pPr>
      <w:r w:rsidRPr="003C2DF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F07E0">
        <w:rPr>
          <w:rStyle w:val="Hyperlink"/>
        </w:rPr>
        <w:t>https://vetnet.gov.au/Pages/TrainingDocs.aspx?q=78b15323-cd38-483e-aad7-1159b570a5c4</w:t>
      </w:r>
      <w:r>
        <w:fldChar w:fldCharType="end"/>
      </w:r>
    </w:p>
    <w:p w:rsidR="00000000" w:rsidRPr="003C2DFB" w:rsidP="00506E1E">
      <w:pPr>
        <w:pStyle w:val="BodyText"/>
        <w:sectPr w:rsidSect="003C2DFB">
          <w:headerReference w:type="default" r:id="rId10"/>
          <w:footerReference w:type="default" r:id="rId11"/>
          <w:pgSz w:w="11908" w:h="16833"/>
          <w:pgMar w:top="1702" w:right="1418" w:bottom="1702" w:left="1418" w:header="992" w:footer="992" w:gutter="0"/>
          <w:cols w:space="720"/>
          <w:noEndnote/>
          <w:docGrid w:linePitch="299"/>
        </w:sectPr>
      </w:pPr>
    </w:p>
    <w:p w:rsidR="00000000" w:rsidRPr="003C2DFB" w:rsidP="003C2DFB">
      <w:pPr>
        <w:pStyle w:val="SuperHeading"/>
      </w:pPr>
      <w:r w:rsidRPr="003C2DFB">
        <w:t>Assessment Requirements for FBPOPR2082 Operate a mixing or blending process</w:t>
      </w:r>
    </w:p>
    <w:p w:rsidR="00000000" w:rsidRPr="003C2DFB" w:rsidP="003C2DFB">
      <w:pPr>
        <w:pStyle w:val="Heading1"/>
      </w:pPr>
      <w:bookmarkStart w:id="9" w:name="O_1184413"/>
      <w:bookmarkEnd w:id="9"/>
      <w:r w:rsidRPr="003C2DFB">
        <w:t>Modification History</w:t>
      </w:r>
    </w:p>
    <w:tbl>
      <w:tblPr>
        <w:tblW w:w="9520" w:type="dxa"/>
        <w:tblLayout w:type="fixed"/>
        <w:tblCellMar>
          <w:left w:w="62" w:type="dxa"/>
          <w:right w:w="62" w:type="dxa"/>
        </w:tblCellMar>
        <w:tblLook w:val="0000"/>
      </w:tblPr>
      <w:tblGrid>
        <w:gridCol w:w="2581"/>
        <w:gridCol w:w="6939"/>
      </w:tblGrid>
      <w:tr w:rsidTr="003C2D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Bold"/>
              <w:rPr>
                <w:lang w:val="en-NZ"/>
              </w:rPr>
            </w:pPr>
            <w:r w:rsidRPr="003C2DFB">
              <w:t>Comments</w:t>
            </w:r>
          </w:p>
        </w:tc>
      </w:tr>
      <w:tr w:rsidTr="003C2DF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2DFB">
            <w:pPr>
              <w:pStyle w:val="BodyText"/>
              <w:rPr>
                <w:lang w:val="en-NZ"/>
              </w:rPr>
            </w:pPr>
            <w:r w:rsidRPr="003C2DF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2DFB" w:rsidP="003C2DFB">
            <w:pPr>
              <w:pStyle w:val="BodyText"/>
            </w:pPr>
            <w:r w:rsidRPr="003C2DFB">
              <w:t>This version released with FBP Food, Beverage and Pharmaceutical Tr</w:t>
            </w:r>
            <w:r w:rsidRPr="003C2DFB">
              <w:t>aining Package Version 6.0.</w:t>
            </w:r>
          </w:p>
        </w:tc>
      </w:tr>
    </w:tbl>
    <w:p w:rsidR="00000000" w:rsidRPr="003C2DFB" w:rsidP="003C2DFB">
      <w:pPr>
        <w:pStyle w:val="BodyText"/>
      </w:pPr>
    </w:p>
    <w:p w:rsidR="00000000" w:rsidRPr="003C2DFB" w:rsidP="003C2DFB">
      <w:pPr>
        <w:pStyle w:val="AllowPageBreak"/>
      </w:pPr>
    </w:p>
    <w:p w:rsidR="00000000" w:rsidRPr="003C2DFB" w:rsidP="003C2DFB">
      <w:pPr>
        <w:pStyle w:val="Heading1"/>
      </w:pPr>
      <w:bookmarkStart w:id="10" w:name="O_1184414"/>
      <w:bookmarkEnd w:id="10"/>
      <w:r w:rsidRPr="003C2DFB">
        <w:t>Performance Evidence</w:t>
      </w:r>
    </w:p>
    <w:p w:rsidR="00000000" w:rsidRPr="003C2DFB" w:rsidP="00506E1E">
      <w:pPr>
        <w:pStyle w:val="BodyText"/>
      </w:pPr>
      <w:r w:rsidRPr="003C2DFB">
        <w:t>An individual demonstrating competency must satisfy all of the elements and performance criteria in this unit.</w:t>
      </w:r>
    </w:p>
    <w:p w:rsidR="00000000" w:rsidRPr="003C2DFB" w:rsidP="00506E1E">
      <w:pPr>
        <w:pStyle w:val="BodyText"/>
      </w:pPr>
      <w:r w:rsidRPr="003C2DFB">
        <w:t>There must be evidence that the individual has operated a mixing or blendin</w:t>
      </w:r>
      <w:r w:rsidRPr="003C2DFB">
        <w:t>g process to produce at least one blended product to meet specifications, including:</w:t>
      </w:r>
    </w:p>
    <w:p w:rsidR="00000000" w:rsidRPr="003C2DFB" w:rsidP="003C2DFB">
      <w:pPr>
        <w:pStyle w:val="ListBullet"/>
      </w:pPr>
      <w:r w:rsidRPr="003C2DFB">
        <w:t>conducting pre-start checks, including:</w:t>
      </w:r>
    </w:p>
    <w:p w:rsidR="00000000" w:rsidRPr="003C2DFB" w:rsidP="003C2DFB">
      <w:pPr>
        <w:pStyle w:val="ListBullet2"/>
      </w:pPr>
      <w:r w:rsidRPr="003C2DFB">
        <w:t>inspecting equipment condition to identify any signs of wear</w:t>
      </w:r>
    </w:p>
    <w:p w:rsidR="00000000" w:rsidRPr="003C2DFB" w:rsidP="003C2DFB">
      <w:pPr>
        <w:pStyle w:val="ListBullet2"/>
      </w:pPr>
      <w:r w:rsidRPr="003C2DFB">
        <w:t>selecting appropriate settings and/or related parameters</w:t>
      </w:r>
    </w:p>
    <w:p w:rsidR="00000000" w:rsidRPr="003C2DFB" w:rsidP="003C2DFB">
      <w:pPr>
        <w:pStyle w:val="ListBullet2"/>
      </w:pPr>
      <w:r w:rsidRPr="003C2DFB">
        <w:t>cancelling isolation or lock-outs as required</w:t>
      </w:r>
    </w:p>
    <w:p w:rsidR="00000000" w:rsidRPr="003C2DFB" w:rsidP="003C2DFB">
      <w:pPr>
        <w:pStyle w:val="ListBullet2"/>
      </w:pPr>
      <w:r w:rsidRPr="003C2DFB">
        <w:t>confirming that equipment is clean and correctly configured for processing requirements</w:t>
      </w:r>
    </w:p>
    <w:p w:rsidR="00000000" w:rsidRPr="003C2DFB" w:rsidP="003C2DFB">
      <w:pPr>
        <w:pStyle w:val="ListBullet2"/>
      </w:pPr>
      <w:r w:rsidRPr="003C2DFB">
        <w:t>positioning sensors and controls correctly</w:t>
      </w:r>
    </w:p>
    <w:p w:rsidR="00000000" w:rsidRPr="003C2DFB" w:rsidP="003C2DFB">
      <w:pPr>
        <w:pStyle w:val="ListBullet2"/>
      </w:pPr>
      <w:r w:rsidRPr="003C2DFB">
        <w:t>ensuring any scheduled maintenance has been carried out</w:t>
      </w:r>
    </w:p>
    <w:p w:rsidR="00000000" w:rsidRPr="003C2DFB" w:rsidP="003C2DFB">
      <w:pPr>
        <w:pStyle w:val="ListBullet2"/>
      </w:pPr>
      <w:r w:rsidRPr="003C2DFB">
        <w:t>confirming that all saf</w:t>
      </w:r>
      <w:r w:rsidRPr="003C2DFB">
        <w:t>ety guards are in place and operational</w:t>
      </w:r>
    </w:p>
    <w:p w:rsidR="00000000" w:rsidRPr="003C2DFB" w:rsidP="003C2DFB">
      <w:pPr>
        <w:pStyle w:val="ListBullet"/>
      </w:pPr>
      <w:r w:rsidRPr="003C2DFB">
        <w:t>adding/loading materials in correct quantities and sequence, including monitoring automatic ingredient addition and/or manual addition</w:t>
      </w:r>
    </w:p>
    <w:p w:rsidR="00000000" w:rsidRPr="003C2DFB" w:rsidP="003C2DFB">
      <w:pPr>
        <w:pStyle w:val="ListBullet"/>
      </w:pPr>
      <w:r w:rsidRPr="003C2DFB">
        <w:t>applying relevant product safety practices</w:t>
      </w:r>
    </w:p>
    <w:p w:rsidR="00000000" w:rsidRPr="003C2DFB" w:rsidP="003C2DFB">
      <w:pPr>
        <w:pStyle w:val="ListBullet"/>
      </w:pPr>
      <w:r w:rsidRPr="003C2DFB">
        <w:t>following safe work procedures</w:t>
      </w:r>
    </w:p>
    <w:p w:rsidR="00000000" w:rsidRPr="003C2DFB" w:rsidP="003C2DFB">
      <w:pPr>
        <w:pStyle w:val="ListBullet"/>
      </w:pPr>
      <w:r w:rsidRPr="003C2DFB">
        <w:t>addres</w:t>
      </w:r>
      <w:r w:rsidRPr="003C2DFB">
        <w:t>sing routine processing issues.</w:t>
      </w:r>
    </w:p>
    <w:p w:rsidR="00000000" w:rsidRPr="003C2DFB" w:rsidP="003C2DFB">
      <w:pPr>
        <w:pStyle w:val="AllowPageBreak"/>
      </w:pPr>
    </w:p>
    <w:p w:rsidR="00000000" w:rsidRPr="003C2DFB" w:rsidP="003C2DFB">
      <w:pPr>
        <w:pStyle w:val="Heading1"/>
      </w:pPr>
      <w:bookmarkStart w:id="11" w:name="O_1184415"/>
      <w:bookmarkEnd w:id="11"/>
      <w:r w:rsidRPr="003C2DFB">
        <w:t>Knowledge Evidence</w:t>
      </w:r>
    </w:p>
    <w:p w:rsidR="00000000" w:rsidRPr="003C2DFB" w:rsidP="00506E1E">
      <w:pPr>
        <w:pStyle w:val="BodyText"/>
      </w:pPr>
      <w:r w:rsidRPr="003C2DFB">
        <w:t>An individual must be able to demonstrate the knowledge required to perform the tasks outlined in the elements and performance criteria of this unit. This includes knowledge of:</w:t>
      </w:r>
    </w:p>
    <w:p w:rsidR="00000000" w:rsidRPr="003C2DFB" w:rsidP="003C2DFB">
      <w:pPr>
        <w:pStyle w:val="ListBullet"/>
      </w:pPr>
      <w:r w:rsidRPr="003C2DFB">
        <w:t>purpose and basic principles of preparing mixes and blends, including the characteristics and basic function of ingredients and additives used, method and sequence of ingredient addition required to achieve required blend characteristics and, where relevan</w:t>
      </w:r>
      <w:r w:rsidRPr="003C2DFB">
        <w:t>t, the purpose of conditioning, maturation or holding stages required prior to further processing of the mix</w:t>
      </w:r>
    </w:p>
    <w:p w:rsidR="00000000" w:rsidRPr="003C2DFB" w:rsidP="003C2DFB">
      <w:pPr>
        <w:pStyle w:val="ListBullet"/>
      </w:pPr>
      <w:r w:rsidRPr="003C2DFB">
        <w:t>specific gravity and bulk density as appropriate for ingredients used</w:t>
      </w:r>
    </w:p>
    <w:p w:rsidR="00000000" w:rsidRPr="003C2DFB" w:rsidP="003C2DFB">
      <w:pPr>
        <w:pStyle w:val="ListBullet"/>
      </w:pPr>
      <w:r w:rsidRPr="003C2DFB">
        <w:t>basic operating principles of mixing/blending equipment, including:</w:t>
      </w:r>
    </w:p>
    <w:p w:rsidR="00000000" w:rsidRPr="003C2DFB" w:rsidP="003C2DFB">
      <w:pPr>
        <w:pStyle w:val="ListBullet2"/>
      </w:pPr>
      <w:r w:rsidRPr="003C2DFB">
        <w:t>main equ</w:t>
      </w:r>
      <w:r w:rsidRPr="003C2DFB">
        <w:t>ipment components</w:t>
      </w:r>
    </w:p>
    <w:p w:rsidR="00000000" w:rsidRPr="003C2DFB" w:rsidP="003C2DFB">
      <w:pPr>
        <w:pStyle w:val="ListBullet2"/>
      </w:pPr>
      <w:r w:rsidRPr="003C2DFB">
        <w:t>status and purpose of guards</w:t>
      </w:r>
    </w:p>
    <w:p w:rsidR="00000000" w:rsidRPr="003C2DFB" w:rsidP="003C2DFB">
      <w:pPr>
        <w:pStyle w:val="ListBullet2"/>
      </w:pPr>
      <w:r w:rsidRPr="003C2DFB">
        <w:t>equipment operating capacities and applications</w:t>
      </w:r>
    </w:p>
    <w:p w:rsidR="00000000" w:rsidRPr="003C2DFB" w:rsidP="003C2DFB">
      <w:pPr>
        <w:pStyle w:val="ListBullet2"/>
      </w:pPr>
      <w:r w:rsidRPr="003C2DFB">
        <w:t>the purpose and location of sensors and related feedback instrumentation</w:t>
      </w:r>
    </w:p>
    <w:p w:rsidR="00000000" w:rsidRPr="003C2DFB" w:rsidP="003C2DFB">
      <w:pPr>
        <w:pStyle w:val="ListBullet2"/>
      </w:pPr>
      <w:r w:rsidRPr="003C2DFB">
        <w:t>awareness of calibration schedules for scales and related weighing/measuring equipment</w:t>
      </w:r>
    </w:p>
    <w:p w:rsidR="00000000" w:rsidRPr="003C2DFB" w:rsidP="003C2DFB">
      <w:pPr>
        <w:pStyle w:val="ListBullet"/>
      </w:pPr>
      <w:r w:rsidRPr="003C2DFB">
        <w:t>services required, and action to take if services are not available</w:t>
      </w:r>
    </w:p>
    <w:p w:rsidR="00000000" w:rsidRPr="003C2DFB" w:rsidP="003C2DFB">
      <w:pPr>
        <w:pStyle w:val="ListBullet"/>
      </w:pPr>
      <w:r w:rsidRPr="003C2DFB">
        <w:t>the flow of the mixing process and the effect of mix preparation on downstream processes</w:t>
      </w:r>
    </w:p>
    <w:p w:rsidR="00000000" w:rsidRPr="003C2DFB" w:rsidP="003C2DFB">
      <w:pPr>
        <w:pStyle w:val="ListBullet"/>
      </w:pPr>
      <w:r w:rsidRPr="003C2DFB">
        <w:t>ingredient-handling requirements and shelf-life or coding</w:t>
      </w:r>
    </w:p>
    <w:p w:rsidR="00000000" w:rsidRPr="003C2DFB" w:rsidP="003C2DFB">
      <w:pPr>
        <w:pStyle w:val="ListBullet"/>
      </w:pPr>
      <w:r w:rsidRPr="003C2DFB">
        <w:t>quality characteristics required of ingredients and additives and their effect on mixing process performance, including methods used to condition or prepare ingredients prior to addition</w:t>
      </w:r>
    </w:p>
    <w:p w:rsidR="00000000" w:rsidRPr="003C2DFB" w:rsidP="003C2DFB">
      <w:pPr>
        <w:pStyle w:val="ListBullet"/>
      </w:pPr>
      <w:r w:rsidRPr="003C2DFB">
        <w:t>methods used to monitor the blending or mixing process, including ins</w:t>
      </w:r>
      <w:r w:rsidRPr="003C2DFB">
        <w:t>pecting, measuring and testing, by the process</w:t>
      </w:r>
    </w:p>
    <w:p w:rsidR="00000000" w:rsidRPr="003C2DFB" w:rsidP="003C2DFB">
      <w:pPr>
        <w:pStyle w:val="ListBullet"/>
      </w:pPr>
      <w:r w:rsidRPr="003C2DFB">
        <w:t>inspection or test points (control points) in the process and the related procedures and recording requirements, including:</w:t>
      </w:r>
    </w:p>
    <w:p w:rsidR="00000000" w:rsidRPr="003C2DFB" w:rsidP="003C2DFB">
      <w:pPr>
        <w:pStyle w:val="ListBullet2"/>
      </w:pPr>
      <w:r w:rsidRPr="003C2DFB">
        <w:t>flow rates</w:t>
      </w:r>
    </w:p>
    <w:p w:rsidR="00000000" w:rsidRPr="003C2DFB" w:rsidP="003C2DFB">
      <w:pPr>
        <w:pStyle w:val="ListBullet2"/>
      </w:pPr>
      <w:r w:rsidRPr="003C2DFB">
        <w:t>ingredient/additive addition sequence</w:t>
      </w:r>
    </w:p>
    <w:p w:rsidR="00000000" w:rsidRPr="003C2DFB" w:rsidP="003C2DFB">
      <w:pPr>
        <w:pStyle w:val="ListBullet2"/>
      </w:pPr>
      <w:r w:rsidRPr="003C2DFB">
        <w:t>times/temperatures and agitator spe</w:t>
      </w:r>
      <w:r w:rsidRPr="003C2DFB">
        <w:t>eds</w:t>
      </w:r>
    </w:p>
    <w:p w:rsidR="00000000" w:rsidRPr="003C2DFB" w:rsidP="003C2DFB">
      <w:pPr>
        <w:pStyle w:val="ListBullet2"/>
      </w:pPr>
      <w:r w:rsidRPr="003C2DFB">
        <w:t>required characteristics of blend, including viscosity, appearance and temperature</w:t>
      </w:r>
    </w:p>
    <w:p w:rsidR="00000000" w:rsidRPr="003C2DFB" w:rsidP="003C2DFB">
      <w:pPr>
        <w:pStyle w:val="ListBullet"/>
      </w:pPr>
      <w:r w:rsidRPr="003C2DFB">
        <w:t>required attributes of the mixed or blended output, including chemical, texture and flavour profiles as required</w:t>
      </w:r>
    </w:p>
    <w:p w:rsidR="00000000" w:rsidRPr="003C2DFB" w:rsidP="003C2DFB">
      <w:pPr>
        <w:pStyle w:val="ListBullet"/>
      </w:pPr>
      <w:r w:rsidRPr="003C2DFB">
        <w:t>the effect of the mixing or blending parameters, includ</w:t>
      </w:r>
      <w:r w:rsidRPr="003C2DFB">
        <w:t>ing temperature and length of mix time on mixing outcome</w:t>
      </w:r>
    </w:p>
    <w:p w:rsidR="00000000" w:rsidRPr="003C2DFB" w:rsidP="003C2DFB">
      <w:pPr>
        <w:pStyle w:val="ListBullet"/>
      </w:pPr>
      <w:r w:rsidRPr="003C2DFB">
        <w:t>contamination/cross-contamination and relevant product safety risks associated with the process, and related control measures, including product compatibility and cross-contamination risks and associ</w:t>
      </w:r>
      <w:r w:rsidRPr="003C2DFB">
        <w:t>ated cleaning requirements, as well as common allergens used in mixes prepared</w:t>
      </w:r>
    </w:p>
    <w:p w:rsidR="00000000" w:rsidRPr="003C2DFB" w:rsidP="003C2DFB">
      <w:pPr>
        <w:pStyle w:val="ListBullet"/>
      </w:pPr>
      <w:r w:rsidRPr="003C2DFB">
        <w:t>operating requirements and parameters, and corrective action required when operation is outside specified operating parameters</w:t>
      </w:r>
    </w:p>
    <w:p w:rsidR="00000000" w:rsidRPr="003C2DFB" w:rsidP="003C2DFB">
      <w:pPr>
        <w:pStyle w:val="ListBullet"/>
      </w:pPr>
      <w:r w:rsidRPr="003C2DFB">
        <w:t>typical equipment faults and related causes, inclu</w:t>
      </w:r>
      <w:r w:rsidRPr="003C2DFB">
        <w:t>ding signs and symptoms of faulty equipment, and early warning signs of potential problems</w:t>
      </w:r>
    </w:p>
    <w:p w:rsidR="00000000" w:rsidRPr="003C2DFB" w:rsidP="003C2DFB">
      <w:pPr>
        <w:pStyle w:val="ListBullet"/>
      </w:pPr>
      <w:r w:rsidRPr="003C2DFB">
        <w:t>common causes of variation, and corrective action required</w:t>
      </w:r>
    </w:p>
    <w:p w:rsidR="00000000" w:rsidRPr="003C2DFB" w:rsidP="003C2DFB">
      <w:pPr>
        <w:pStyle w:val="ListBullet"/>
      </w:pPr>
      <w:r w:rsidRPr="003C2DFB">
        <w:t>health and safety hazards and controls relevant to the mixing and blending process</w:t>
      </w:r>
    </w:p>
    <w:p w:rsidR="00000000" w:rsidRPr="003C2DFB" w:rsidP="003C2DFB">
      <w:pPr>
        <w:pStyle w:val="ListBullet"/>
      </w:pPr>
      <w:r w:rsidRPr="003C2DFB">
        <w:t>requirements of different shutdowns as appropriate to the blending or mixing process and workplace production requirements, including emergency and routine shutdowns, and procedures to follow in the event of a power outage</w:t>
      </w:r>
    </w:p>
    <w:p w:rsidR="00000000" w:rsidRPr="003C2DFB" w:rsidP="003C2DFB">
      <w:pPr>
        <w:pStyle w:val="ListBullet"/>
      </w:pPr>
      <w:r w:rsidRPr="003C2DFB">
        <w:t>isolation, lock-out and tag-out p</w:t>
      </w:r>
      <w:r w:rsidRPr="003C2DFB">
        <w:t>rocedures and responsibilities relevant to the mixing and blending process</w:t>
      </w:r>
    </w:p>
    <w:p w:rsidR="00000000" w:rsidRPr="003C2DFB" w:rsidP="003C2DFB">
      <w:pPr>
        <w:pStyle w:val="ListBullet"/>
      </w:pPr>
      <w:r w:rsidRPr="003C2DFB">
        <w:t>procedures and responsibility for reporting production and performance information</w:t>
      </w:r>
    </w:p>
    <w:p w:rsidR="00000000" w:rsidRPr="003C2DFB" w:rsidP="003C2DFB">
      <w:pPr>
        <w:pStyle w:val="ListBullet"/>
      </w:pPr>
      <w:r w:rsidRPr="003C2DFB">
        <w:t>environmental issues and controls relevant to the mixing or blending process, including waste or r</w:t>
      </w:r>
      <w:r w:rsidRPr="003C2DFB">
        <w:t>ework collection and handling procedures related to the process</w:t>
      </w:r>
    </w:p>
    <w:p w:rsidR="00000000" w:rsidRPr="003C2DFB" w:rsidP="003C2DFB">
      <w:pPr>
        <w:pStyle w:val="ListBullet"/>
      </w:pPr>
      <w:r w:rsidRPr="003C2DFB">
        <w:t>basic operating principles of process control, where relevant, including the relationship between control panels and systems and the physical equipment</w:t>
      </w:r>
    </w:p>
    <w:p w:rsidR="00000000" w:rsidRPr="003C2DFB" w:rsidP="003C2DFB">
      <w:pPr>
        <w:pStyle w:val="ListBullet"/>
      </w:pPr>
      <w:r w:rsidRPr="003C2DFB">
        <w:t>characteristics of solutions, suspension</w:t>
      </w:r>
      <w:r w:rsidRPr="003C2DFB">
        <w:t>s and emulsions for the mixing and blending process</w:t>
      </w:r>
    </w:p>
    <w:p w:rsidR="00000000" w:rsidRPr="003C2DFB" w:rsidP="003C2DFB">
      <w:pPr>
        <w:pStyle w:val="ListBullet"/>
      </w:pPr>
      <w:r w:rsidRPr="003C2DFB">
        <w:t>cleaning and sanitisation procedures for mixing or blending equipment</w:t>
      </w:r>
    </w:p>
    <w:p w:rsidR="00000000" w:rsidRPr="003C2DFB" w:rsidP="003C2DFB">
      <w:pPr>
        <w:pStyle w:val="ListBullet"/>
      </w:pPr>
      <w:r w:rsidRPr="003C2DFB">
        <w:t>recording procedures to ensure traceability of product.</w:t>
      </w:r>
    </w:p>
    <w:p w:rsidR="00000000" w:rsidRPr="003C2DFB" w:rsidP="003C2DFB">
      <w:pPr>
        <w:pStyle w:val="AllowPageBreak"/>
      </w:pPr>
    </w:p>
    <w:p w:rsidR="00000000" w:rsidRPr="003C2DFB" w:rsidP="003C2DFB">
      <w:pPr>
        <w:pStyle w:val="Heading1"/>
      </w:pPr>
      <w:bookmarkStart w:id="12" w:name="O_1184416"/>
      <w:bookmarkEnd w:id="12"/>
      <w:r w:rsidRPr="003C2DFB">
        <w:t>Assessment Conditions</w:t>
      </w:r>
    </w:p>
    <w:p w:rsidR="00000000" w:rsidRPr="003C2DFB" w:rsidP="00506E1E">
      <w:pPr>
        <w:pStyle w:val="BodyText"/>
      </w:pPr>
      <w:r w:rsidRPr="003C2DFB">
        <w:t>Assessment of the skills in this unit</w:t>
      </w:r>
      <w:r w:rsidRPr="003C2DFB">
        <w:t xml:space="preserve"> of competency must take place under the following conditions:</w:t>
      </w:r>
    </w:p>
    <w:p w:rsidR="00000000" w:rsidRPr="003C2DFB" w:rsidP="003C2DFB">
      <w:pPr>
        <w:pStyle w:val="ListBullet"/>
      </w:pPr>
      <w:r w:rsidRPr="003C2DFB">
        <w:t>physical conditions:</w:t>
      </w:r>
    </w:p>
    <w:p w:rsidR="00000000" w:rsidRPr="003C2DFB" w:rsidP="003C2DFB">
      <w:pPr>
        <w:pStyle w:val="ListBullet2"/>
      </w:pPr>
      <w:r w:rsidRPr="003C2DFB">
        <w:t>a workplace or an environment that accurately represents workplace conditions</w:t>
      </w:r>
    </w:p>
    <w:p w:rsidR="00000000" w:rsidRPr="003C2DFB" w:rsidP="003C2DFB">
      <w:pPr>
        <w:pStyle w:val="ListBullet"/>
      </w:pPr>
      <w:r w:rsidRPr="003C2DFB">
        <w:t>resources, equipment and materials:</w:t>
      </w:r>
    </w:p>
    <w:p w:rsidR="00000000" w:rsidRPr="003C2DFB" w:rsidP="003C2DFB">
      <w:pPr>
        <w:pStyle w:val="ListBullet2"/>
      </w:pPr>
      <w:r w:rsidRPr="003C2DFB">
        <w:t xml:space="preserve">mixing/blending process equipment and related services </w:t>
      </w:r>
    </w:p>
    <w:p w:rsidR="00000000" w:rsidRPr="003C2DFB" w:rsidP="003C2DFB">
      <w:pPr>
        <w:pStyle w:val="ListBullet2"/>
      </w:pPr>
      <w:r w:rsidRPr="003C2DFB">
        <w:t xml:space="preserve">personal protective clothing </w:t>
      </w:r>
    </w:p>
    <w:p w:rsidR="00000000" w:rsidRPr="003C2DFB" w:rsidP="003C2DFB">
      <w:pPr>
        <w:pStyle w:val="ListBullet2"/>
      </w:pPr>
      <w:r w:rsidRPr="003C2DFB">
        <w:t>ingredients and additives required for the mixing/blending process</w:t>
      </w:r>
    </w:p>
    <w:p w:rsidR="00000000" w:rsidRPr="003C2DFB" w:rsidP="003C2DFB">
      <w:pPr>
        <w:pStyle w:val="ListBullet2"/>
      </w:pPr>
      <w:r w:rsidRPr="003C2DFB">
        <w:t>cleaning materials and equipment</w:t>
      </w:r>
    </w:p>
    <w:p w:rsidR="00000000" w:rsidRPr="003C2DFB" w:rsidP="003C2DFB">
      <w:pPr>
        <w:pStyle w:val="ListBullet"/>
      </w:pPr>
      <w:r w:rsidRPr="003C2DFB">
        <w:t>specifications:</w:t>
      </w:r>
    </w:p>
    <w:p w:rsidR="00000000" w:rsidRPr="003C2DFB" w:rsidP="003C2DFB">
      <w:pPr>
        <w:pStyle w:val="ListBullet2"/>
      </w:pPr>
      <w:r w:rsidRPr="003C2DFB">
        <w:t>work procedures, including advice on safe work pract</w:t>
      </w:r>
      <w:r w:rsidRPr="003C2DFB">
        <w:t>ices, product safety, quality and environmental requirements, stock flow systems, production schedules, batch/recipe instructions</w:t>
      </w:r>
    </w:p>
    <w:p w:rsidR="00000000" w:rsidRPr="003C2DFB" w:rsidP="003C2DFB">
      <w:pPr>
        <w:pStyle w:val="ListBullet2"/>
      </w:pPr>
      <w:r w:rsidRPr="003C2DFB">
        <w:t>information on equipment capacity and operating parameters</w:t>
      </w:r>
    </w:p>
    <w:p w:rsidR="00000000" w:rsidRPr="003C2DFB" w:rsidP="003C2DFB">
      <w:pPr>
        <w:pStyle w:val="ListBullet2"/>
      </w:pPr>
      <w:r w:rsidRPr="003C2DFB">
        <w:t>production schedule/batch/recipe specifications, control points and</w:t>
      </w:r>
      <w:r w:rsidRPr="003C2DFB">
        <w:t xml:space="preserve"> processing parameters.</w:t>
      </w:r>
    </w:p>
    <w:p w:rsidR="00506E1E" w:rsidP="00506E1E">
      <w:pPr>
        <w:pStyle w:val="BodyText"/>
      </w:pPr>
      <w:r w:rsidRPr="003C2DFB">
        <w:t>Assessors of this unit must satisfy the requirements for assessors in applicable vocational education and training legislation, frameworks and/or standards.</w:t>
      </w:r>
    </w:p>
    <w:p w:rsidR="00000000" w:rsidRPr="003C2DFB" w:rsidP="003C2DFB">
      <w:pPr>
        <w:pStyle w:val="Heading1"/>
      </w:pPr>
      <w:bookmarkStart w:id="13" w:name="O_1184419"/>
      <w:bookmarkEnd w:id="13"/>
      <w:r w:rsidRPr="003C2DFB">
        <w:t>Links</w:t>
      </w:r>
    </w:p>
    <w:p w:rsidR="00000000" w:rsidRPr="003C2DFB" w:rsidP="00506E1E">
      <w:pPr>
        <w:pStyle w:val="BodyText"/>
      </w:pPr>
      <w:r w:rsidRPr="003C2DFB">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F07E0">
        <w:rPr>
          <w:rStyle w:val="Hyperlink"/>
        </w:rPr>
        <w:t>https://vetnet.gov.au/Pages/TrainingDocs.aspx?q=78b15323-cd38-483e-aad7-1159b570a5c4</w:t>
      </w:r>
      <w:r>
        <w:fldChar w:fldCharType="end"/>
      </w:r>
    </w:p>
    <w:p w:rsidR="00000000" w:rsidRPr="003C2DFB" w:rsidP="003C2DFB"/>
    <w:sectPr w:rsidSect="003C2D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rsidRPr="00506E1E" w:rsidP="00506E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1E" w:rsidP="003C2D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06E1E" w:rsidP="003C2D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06E1E" w:rsidP="003C2D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rsidP="003C2DFB">
    <w:pPr>
      <w:pStyle w:val="Footer"/>
      <w:framePr w:wrap="around"/>
    </w:pPr>
    <w:r>
      <w:fldChar w:fldCharType="begin"/>
    </w:r>
    <w:r>
      <w:instrText xml:space="preserve"> DOCPROPERTY  Subject  \* MERGEFORMAT </w:instrText>
    </w:r>
    <w:r>
      <w:fldChar w:fldCharType="separate"/>
    </w:r>
    <w:r w:rsidR="00506E1E">
      <w:t>Approved</w:t>
    </w:r>
    <w:r w:rsidR="00506E1E">
      <w:fldChar w:fldCharType="end"/>
    </w:r>
    <w:r>
      <w:tab/>
      <w:t xml:space="preserve">Page </w:t>
    </w:r>
    <w:r>
      <w:fldChar w:fldCharType="begin"/>
    </w:r>
    <w:r>
      <w:instrText xml:space="preserve"> PAGE  \* Arabic  \* MERGEFORMAT </w:instrText>
    </w:r>
    <w:r>
      <w:fldChar w:fldCharType="separate"/>
    </w:r>
    <w:r w:rsidR="00506E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6E1E">
      <w:rPr>
        <w:noProof/>
      </w:rPr>
      <w:t>5</w:t>
    </w:r>
    <w:r>
      <w:rPr>
        <w:noProof/>
      </w:rPr>
      <w:fldChar w:fldCharType="end"/>
    </w:r>
  </w:p>
  <w:p w:rsidR="003C2DFB" w:rsidP="003C2DFB">
    <w:pPr>
      <w:pStyle w:val="Footer"/>
      <w:framePr w:wrap="around"/>
    </w:pPr>
    <w:r>
      <w:t xml:space="preserve">© Commonwealth of Australia, </w:t>
    </w:r>
    <w:r>
      <w:fldChar w:fldCharType="begin"/>
    </w:r>
    <w:r>
      <w:instrText xml:space="preserve"> DATE  \@ "yyyy"  \* MERGEFORMAT </w:instrText>
    </w:r>
    <w:r>
      <w:fldChar w:fldCharType="separate"/>
    </w:r>
    <w:r w:rsidR="00506E1E">
      <w:rPr>
        <w:noProof/>
      </w:rPr>
      <w:t>2025</w:t>
    </w:r>
    <w:r>
      <w:fldChar w:fldCharType="end"/>
    </w:r>
    <w:r>
      <w:tab/>
    </w:r>
    <w:r>
      <w:fldChar w:fldCharType="begin"/>
    </w:r>
    <w:r>
      <w:instrText xml:space="preserve"> DOCPROPERTY  Author  \* MERGEFORMAT </w:instrText>
    </w:r>
    <w:r>
      <w:fldChar w:fldCharType="separate"/>
    </w:r>
    <w:r w:rsidR="00506E1E">
      <w:t>Manufacturing Industry Skills Alliance</w:t>
    </w:r>
    <w:r w:rsidR="00506E1E">
      <w:fldChar w:fldCharType="end"/>
    </w:r>
  </w:p>
  <w:p w:rsidR="003C2DFB" w:rsidP="003C2D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2DFB" w:rsidRPr="00506E1E" w:rsidP="00506E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E1E" w:rsidRPr="002D2AF8" w:rsidP="003C2DFB">
    <w:pPr>
      <w:pStyle w:val="Header"/>
      <w:framePr w:wrap="around"/>
    </w:pPr>
    <w:r>
      <w:fldChar w:fldCharType="begin"/>
    </w:r>
    <w:r>
      <w:instrText xml:space="preserve"> TITLE   \* MERGEFORMAT </w:instrText>
    </w:r>
    <w:r>
      <w:fldChar w:fldCharType="separate"/>
    </w:r>
    <w:r>
      <w:t>FBPOPR2082 Operate a mixing or blending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6E1E" w:rsidP="003C2D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DFB" w:rsidRPr="002D2AF8" w:rsidP="003C2DFB">
    <w:pPr>
      <w:pStyle w:val="Header"/>
      <w:framePr w:wrap="around"/>
    </w:pPr>
    <w:r>
      <w:fldChar w:fldCharType="begin"/>
    </w:r>
    <w:r>
      <w:instrText xml:space="preserve"> TITLE   \* MERGEFORMAT </w:instrText>
    </w:r>
    <w:r>
      <w:fldChar w:fldCharType="separate"/>
    </w:r>
    <w:r w:rsidR="00506E1E">
      <w:t>FBPOPR2082 Operate a mixing or blending process</w:t>
    </w:r>
    <w:r w:rsidR="00506E1E">
      <w:fldChar w:fldCharType="end"/>
    </w:r>
    <w:r>
      <w:tab/>
      <w:t xml:space="preserve">Date this document was generated: </w:t>
    </w:r>
    <w:r>
      <w:fldChar w:fldCharType="begin"/>
    </w:r>
    <w:r>
      <w:instrText xml:space="preserve"> CREATEDATE  \@ "d MMMM yyyy"  \* MERGEFORMAT </w:instrText>
    </w:r>
    <w:r>
      <w:fldChar w:fldCharType="separate"/>
    </w:r>
    <w:r w:rsidR="00506E1E">
      <w:rPr>
        <w:noProof/>
      </w:rPr>
      <w:t>2 March 2025</w:t>
    </w:r>
    <w:r>
      <w:fldChar w:fldCharType="end"/>
    </w:r>
  </w:p>
  <w:p w:rsidR="003C2DFB" w:rsidP="003C2D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5EC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0E27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60C2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D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2DFB"/>
    <w:pPr>
      <w:spacing w:before="360" w:after="60"/>
      <w:outlineLvl w:val="0"/>
    </w:pPr>
    <w:rPr>
      <w:sz w:val="32"/>
    </w:rPr>
  </w:style>
  <w:style w:type="paragraph" w:styleId="Heading2">
    <w:name w:val="heading 2"/>
    <w:basedOn w:val="HeadingBase"/>
    <w:next w:val="BodyText"/>
    <w:link w:val="Heading2Char"/>
    <w:qFormat/>
    <w:rsid w:val="003C2DFB"/>
    <w:pPr>
      <w:keepLines/>
      <w:spacing w:before="240" w:after="120"/>
      <w:outlineLvl w:val="1"/>
    </w:pPr>
    <w:rPr>
      <w:sz w:val="28"/>
      <w:szCs w:val="40"/>
    </w:rPr>
  </w:style>
  <w:style w:type="paragraph" w:styleId="Heading3">
    <w:name w:val="heading 3"/>
    <w:basedOn w:val="HeadingBase"/>
    <w:next w:val="BodyText"/>
    <w:link w:val="Heading3Char"/>
    <w:qFormat/>
    <w:rsid w:val="003C2DFB"/>
    <w:pPr>
      <w:spacing w:before="180" w:after="120"/>
      <w:outlineLvl w:val="2"/>
    </w:pPr>
    <w:rPr>
      <w:spacing w:val="-10"/>
      <w:kern w:val="32"/>
    </w:rPr>
  </w:style>
  <w:style w:type="paragraph" w:styleId="Heading4">
    <w:name w:val="heading 4"/>
    <w:basedOn w:val="HeadingBase"/>
    <w:next w:val="BodyText"/>
    <w:link w:val="Heading4Char"/>
    <w:qFormat/>
    <w:rsid w:val="003C2DFB"/>
    <w:pPr>
      <w:spacing w:before="160" w:after="120"/>
      <w:outlineLvl w:val="3"/>
    </w:pPr>
    <w:rPr>
      <w:sz w:val="22"/>
    </w:rPr>
  </w:style>
  <w:style w:type="paragraph" w:styleId="Heading5">
    <w:name w:val="heading 5"/>
    <w:basedOn w:val="HeadingBase"/>
    <w:next w:val="Normal"/>
    <w:link w:val="Heading5Char"/>
    <w:qFormat/>
    <w:rsid w:val="003C2DFB"/>
    <w:pPr>
      <w:spacing w:before="80"/>
      <w:outlineLvl w:val="4"/>
    </w:pPr>
    <w:rPr>
      <w:color w:val="918585"/>
      <w:sz w:val="20"/>
    </w:rPr>
  </w:style>
  <w:style w:type="paragraph" w:styleId="Heading6">
    <w:name w:val="heading 6"/>
    <w:basedOn w:val="HeadingBase"/>
    <w:next w:val="Normal"/>
    <w:link w:val="Heading6Char"/>
    <w:qFormat/>
    <w:rsid w:val="003C2DFB"/>
    <w:pPr>
      <w:spacing w:before="60"/>
      <w:outlineLvl w:val="5"/>
    </w:pPr>
    <w:rPr>
      <w:color w:val="918585"/>
      <w:sz w:val="20"/>
    </w:rPr>
  </w:style>
  <w:style w:type="paragraph" w:styleId="Heading7">
    <w:name w:val="heading 7"/>
    <w:basedOn w:val="Normal"/>
    <w:next w:val="Normal"/>
    <w:link w:val="Heading7Char"/>
    <w:qFormat/>
    <w:rsid w:val="003C2DFB"/>
    <w:pPr>
      <w:ind w:left="720"/>
      <w:outlineLvl w:val="6"/>
    </w:pPr>
    <w:rPr>
      <w:i/>
    </w:rPr>
  </w:style>
  <w:style w:type="paragraph" w:styleId="Heading8">
    <w:name w:val="heading 8"/>
    <w:basedOn w:val="Normal"/>
    <w:next w:val="Normal"/>
    <w:link w:val="Heading8Char"/>
    <w:qFormat/>
    <w:rsid w:val="003C2DFB"/>
    <w:pPr>
      <w:ind w:left="720"/>
      <w:outlineLvl w:val="7"/>
    </w:pPr>
    <w:rPr>
      <w:i/>
    </w:rPr>
  </w:style>
  <w:style w:type="paragraph" w:styleId="Heading9">
    <w:name w:val="heading 9"/>
    <w:basedOn w:val="Normal"/>
    <w:next w:val="Normal"/>
    <w:link w:val="Heading9Char"/>
    <w:qFormat/>
    <w:rsid w:val="003C2DFB"/>
    <w:pPr>
      <w:ind w:left="720"/>
      <w:outlineLvl w:val="8"/>
    </w:pPr>
    <w:rPr>
      <w:i/>
    </w:rPr>
  </w:style>
  <w:style w:type="character" w:default="1" w:styleId="DefaultParagraphFont">
    <w:name w:val="Default Paragraph Font"/>
    <w:uiPriority w:val="1"/>
    <w:unhideWhenUsed/>
    <w:rsid w:val="003C2D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2DFB"/>
  </w:style>
  <w:style w:type="character" w:customStyle="1" w:styleId="Heading1Char">
    <w:name w:val="Heading 1 Char"/>
    <w:basedOn w:val="DefaultParagraphFont"/>
    <w:link w:val="Heading1"/>
    <w:rsid w:val="003C2DFB"/>
    <w:rPr>
      <w:rFonts w:ascii="Times New Roman" w:eastAsia="Times New Roman" w:hAnsi="Times New Roman" w:cs="Times New Roman"/>
      <w:b/>
      <w:sz w:val="32"/>
      <w:szCs w:val="20"/>
      <w:lang w:eastAsia="en-US"/>
    </w:rPr>
  </w:style>
  <w:style w:type="paragraph" w:styleId="BodyText">
    <w:name w:val="Body Text"/>
    <w:basedOn w:val="Normal"/>
    <w:link w:val="BodyTextChar"/>
    <w:rsid w:val="003C2D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2DFB"/>
    <w:rPr>
      <w:rFonts w:ascii="Times New Roman" w:eastAsia="Times New Roman" w:hAnsi="Times New Roman" w:cs="Times New Roman"/>
      <w:sz w:val="24"/>
      <w:lang w:eastAsia="en-US"/>
    </w:rPr>
  </w:style>
  <w:style w:type="paragraph" w:styleId="ListBullet">
    <w:name w:val="List Bullet"/>
    <w:basedOn w:val="List"/>
    <w:rsid w:val="003C2DFB"/>
    <w:pPr>
      <w:numPr>
        <w:numId w:val="12"/>
      </w:numPr>
      <w:tabs>
        <w:tab w:val="clear" w:pos="340"/>
      </w:tabs>
      <w:spacing w:before="40" w:after="40"/>
    </w:pPr>
  </w:style>
  <w:style w:type="paragraph" w:styleId="ListBullet2">
    <w:name w:val="List Bullet 2"/>
    <w:basedOn w:val="List2"/>
    <w:rsid w:val="003C2DFB"/>
    <w:pPr>
      <w:numPr>
        <w:numId w:val="13"/>
      </w:numPr>
      <w:tabs>
        <w:tab w:val="clear" w:pos="680"/>
      </w:tabs>
    </w:pPr>
  </w:style>
  <w:style w:type="character" w:styleId="Emphasis">
    <w:name w:val="Emphasis"/>
    <w:basedOn w:val="DefaultParagraphFont"/>
    <w:qFormat/>
    <w:rsid w:val="003C2DFB"/>
    <w:rPr>
      <w:i/>
    </w:rPr>
  </w:style>
  <w:style w:type="paragraph" w:customStyle="1" w:styleId="SuperHeading">
    <w:name w:val="SuperHeading"/>
    <w:basedOn w:val="Normal"/>
    <w:rsid w:val="003C2DFB"/>
    <w:pPr>
      <w:spacing w:before="240" w:after="120"/>
      <w:outlineLvl w:val="0"/>
    </w:pPr>
    <w:rPr>
      <w:rFonts w:ascii="Times New Roman" w:hAnsi="Times New Roman"/>
      <w:b/>
      <w:sz w:val="32"/>
    </w:rPr>
  </w:style>
  <w:style w:type="paragraph" w:customStyle="1" w:styleId="AllowPageBreak">
    <w:name w:val="AllowPageBreak"/>
    <w:rsid w:val="003C2DF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C2DFB"/>
    <w:rPr>
      <w:b/>
    </w:rPr>
  </w:style>
  <w:style w:type="character" w:customStyle="1" w:styleId="Heading2Char">
    <w:name w:val="Heading 2 Char"/>
    <w:basedOn w:val="DefaultParagraphFont"/>
    <w:link w:val="Heading2"/>
    <w:rsid w:val="003C2D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2D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2D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2D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2D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2D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2D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2DFB"/>
    <w:rPr>
      <w:rFonts w:ascii="Courier New" w:eastAsia="Times New Roman" w:hAnsi="Courier New" w:cs="Times New Roman"/>
      <w:i/>
      <w:szCs w:val="20"/>
      <w:lang w:eastAsia="en-US"/>
    </w:rPr>
  </w:style>
  <w:style w:type="paragraph" w:customStyle="1" w:styleId="HeadingBase">
    <w:name w:val="Heading Base"/>
    <w:rsid w:val="003C2D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2DFB"/>
    <w:pPr>
      <w:tabs>
        <w:tab w:val="right" w:leader="dot" w:pos="9072"/>
      </w:tabs>
      <w:ind w:left="567"/>
    </w:pPr>
    <w:rPr>
      <w:szCs w:val="22"/>
    </w:rPr>
  </w:style>
  <w:style w:type="paragraph" w:customStyle="1" w:styleId="TOCBase">
    <w:name w:val="TOC Base"/>
    <w:rsid w:val="003C2D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2DFB"/>
    <w:pPr>
      <w:tabs>
        <w:tab w:val="right" w:leader="dot" w:pos="9072"/>
      </w:tabs>
      <w:spacing w:before="40" w:after="40"/>
      <w:ind w:left="284"/>
    </w:pPr>
    <w:rPr>
      <w:rFonts w:ascii="Times New Roman" w:hAnsi="Times New Roman"/>
    </w:rPr>
  </w:style>
  <w:style w:type="paragraph" w:styleId="TOC1">
    <w:name w:val="toc 1"/>
    <w:basedOn w:val="TOCBase"/>
    <w:next w:val="Normal"/>
    <w:rsid w:val="003C2D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2D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2DFB"/>
    <w:rPr>
      <w:rFonts w:ascii="Times New Roman" w:eastAsia="Times New Roman" w:hAnsi="Times New Roman" w:cs="Times New Roman"/>
      <w:sz w:val="16"/>
      <w:lang w:eastAsia="en-US"/>
    </w:rPr>
  </w:style>
  <w:style w:type="paragraph" w:styleId="Title">
    <w:name w:val="Title"/>
    <w:basedOn w:val="HeadingBase"/>
    <w:link w:val="TitleChar"/>
    <w:qFormat/>
    <w:rsid w:val="003C2DFB"/>
    <w:pPr>
      <w:spacing w:before="5040"/>
      <w:jc w:val="center"/>
    </w:pPr>
    <w:rPr>
      <w:sz w:val="48"/>
      <w:szCs w:val="72"/>
      <w:lang w:val="en-US"/>
    </w:rPr>
  </w:style>
  <w:style w:type="character" w:customStyle="1" w:styleId="TitleChar">
    <w:name w:val="Title Char"/>
    <w:basedOn w:val="DefaultParagraphFont"/>
    <w:link w:val="Title"/>
    <w:rsid w:val="003C2D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2DFB"/>
    <w:pPr>
      <w:tabs>
        <w:tab w:val="left" w:pos="3600"/>
        <w:tab w:val="left" w:pos="3958"/>
      </w:tabs>
    </w:pPr>
  </w:style>
  <w:style w:type="paragraph" w:styleId="List">
    <w:name w:val="List"/>
    <w:basedOn w:val="BodyText"/>
    <w:next w:val="BodyText"/>
    <w:rsid w:val="003C2DFB"/>
    <w:pPr>
      <w:tabs>
        <w:tab w:val="left" w:pos="340"/>
      </w:tabs>
      <w:spacing w:before="60" w:after="60"/>
      <w:ind w:left="340" w:hanging="340"/>
    </w:pPr>
  </w:style>
  <w:style w:type="paragraph" w:customStyle="1" w:styleId="Note">
    <w:name w:val="Note"/>
    <w:basedOn w:val="BodyText"/>
    <w:rsid w:val="003C2DF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2DFB"/>
    <w:rPr>
      <w:b/>
      <w:spacing w:val="0"/>
    </w:rPr>
  </w:style>
  <w:style w:type="paragraph" w:customStyle="1" w:styleId="SuperTitle">
    <w:name w:val="SuperTitle"/>
    <w:basedOn w:val="Title"/>
    <w:rsid w:val="003C2DFB"/>
    <w:pPr>
      <w:framePr w:wrap="auto" w:hAnchor="text" w:y="6049"/>
    </w:pPr>
    <w:rPr>
      <w:color w:val="000000"/>
      <w:sz w:val="40"/>
    </w:rPr>
  </w:style>
  <w:style w:type="paragraph" w:customStyle="1" w:styleId="TOCTitle">
    <w:name w:val="TOCTitle"/>
    <w:basedOn w:val="Heading1"/>
    <w:rsid w:val="003C2DFB"/>
    <w:pPr>
      <w:spacing w:after="240"/>
      <w:jc w:val="center"/>
      <w:outlineLvl w:val="9"/>
    </w:pPr>
    <w:rPr>
      <w:caps/>
    </w:rPr>
  </w:style>
  <w:style w:type="paragraph" w:customStyle="1" w:styleId="Version">
    <w:name w:val="Version"/>
    <w:rsid w:val="003C2D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2DFB"/>
    <w:pPr>
      <w:keepNext w:val="0"/>
      <w:tabs>
        <w:tab w:val="right" w:pos="4176"/>
      </w:tabs>
      <w:ind w:left="198" w:hanging="198"/>
    </w:pPr>
    <w:rPr>
      <w:rFonts w:ascii="Garamond" w:hAnsi="Garamond"/>
    </w:rPr>
  </w:style>
  <w:style w:type="paragraph" w:styleId="IndexHeading">
    <w:name w:val="index heading"/>
    <w:basedOn w:val="Normal"/>
    <w:next w:val="Index1"/>
    <w:semiHidden/>
    <w:rsid w:val="003C2DFB"/>
    <w:pPr>
      <w:spacing w:before="120" w:after="120"/>
    </w:pPr>
    <w:rPr>
      <w:rFonts w:ascii="Arial" w:hAnsi="Arial"/>
      <w:b/>
      <w:color w:val="918585"/>
      <w:sz w:val="24"/>
    </w:rPr>
  </w:style>
  <w:style w:type="paragraph" w:styleId="Header">
    <w:name w:val="header"/>
    <w:basedOn w:val="Normal"/>
    <w:link w:val="HeaderChar"/>
    <w:rsid w:val="003C2D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2DFB"/>
    <w:rPr>
      <w:rFonts w:ascii="Times New Roman" w:eastAsia="Times New Roman" w:hAnsi="Times New Roman" w:cs="Times New Roman"/>
      <w:sz w:val="16"/>
      <w:szCs w:val="20"/>
      <w:lang w:val="en-GB" w:eastAsia="en-US"/>
    </w:rPr>
  </w:style>
  <w:style w:type="paragraph" w:customStyle="1" w:styleId="Chapter">
    <w:name w:val="Chapter"/>
    <w:basedOn w:val="Normal"/>
    <w:rsid w:val="003C2DFB"/>
    <w:pPr>
      <w:spacing w:before="240"/>
    </w:pPr>
    <w:rPr>
      <w:rFonts w:ascii="Times New Roman" w:hAnsi="Times New Roman"/>
      <w:smallCaps/>
      <w:spacing w:val="80"/>
      <w:sz w:val="28"/>
    </w:rPr>
  </w:style>
  <w:style w:type="paragraph" w:customStyle="1" w:styleId="InChapter">
    <w:name w:val="InChapter"/>
    <w:basedOn w:val="Heading3"/>
    <w:rsid w:val="003C2DFB"/>
    <w:pPr>
      <w:spacing w:after="240"/>
      <w:outlineLvl w:val="9"/>
    </w:pPr>
    <w:rPr>
      <w:noProof/>
    </w:rPr>
  </w:style>
  <w:style w:type="paragraph" w:styleId="Index2">
    <w:name w:val="index 2"/>
    <w:basedOn w:val="Normal"/>
    <w:next w:val="Normal"/>
    <w:semiHidden/>
    <w:rsid w:val="003C2DFB"/>
    <w:pPr>
      <w:tabs>
        <w:tab w:val="right" w:pos="4176"/>
      </w:tabs>
      <w:ind w:left="568" w:hanging="284"/>
    </w:pPr>
    <w:rPr>
      <w:rFonts w:ascii="Garamond" w:hAnsi="Garamond"/>
    </w:rPr>
  </w:style>
  <w:style w:type="paragraph" w:customStyle="1" w:styleId="Byline">
    <w:name w:val="Byline"/>
    <w:rsid w:val="003C2D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2DFB"/>
    <w:pPr>
      <w:tabs>
        <w:tab w:val="clear" w:pos="3600"/>
        <w:tab w:val="clear" w:pos="3958"/>
      </w:tabs>
      <w:jc w:val="right"/>
    </w:pPr>
  </w:style>
  <w:style w:type="paragraph" w:styleId="Caption">
    <w:name w:val="caption"/>
    <w:basedOn w:val="BodyText"/>
    <w:next w:val="Normal"/>
    <w:qFormat/>
    <w:rsid w:val="003C2DFB"/>
    <w:pPr>
      <w:framePr w:w="2268" w:hSpace="181" w:vSpace="181" w:wrap="around" w:vAnchor="text" w:hAnchor="page" w:x="1135" w:y="285" w:anchorLock="1"/>
    </w:pPr>
    <w:rPr>
      <w:i/>
    </w:rPr>
  </w:style>
  <w:style w:type="paragraph" w:customStyle="1" w:styleId="MiniTOCTitle">
    <w:name w:val="MiniTOCTitle"/>
    <w:basedOn w:val="Heading4"/>
    <w:rsid w:val="003C2DFB"/>
    <w:pPr>
      <w:spacing w:before="240"/>
      <w:outlineLvl w:val="9"/>
    </w:pPr>
    <w:rPr>
      <w:noProof/>
      <w:sz w:val="24"/>
    </w:rPr>
  </w:style>
  <w:style w:type="paragraph" w:customStyle="1" w:styleId="MiniTOCItem">
    <w:name w:val="MiniTOCItem"/>
    <w:basedOn w:val="ListBullet"/>
    <w:rsid w:val="003C2DFB"/>
    <w:pPr>
      <w:numPr>
        <w:numId w:val="0"/>
      </w:numPr>
      <w:tabs>
        <w:tab w:val="right" w:leader="dot" w:pos="6521"/>
      </w:tabs>
      <w:spacing w:before="0" w:after="0"/>
    </w:pPr>
  </w:style>
  <w:style w:type="paragraph" w:customStyle="1" w:styleId="TOFTitle">
    <w:name w:val="TOFTitle"/>
    <w:basedOn w:val="TOCTitle"/>
    <w:rsid w:val="003C2DFB"/>
  </w:style>
  <w:style w:type="paragraph" w:styleId="TableofFigures">
    <w:name w:val="table of figures"/>
    <w:basedOn w:val="Normal"/>
    <w:next w:val="Normal"/>
    <w:semiHidden/>
    <w:rsid w:val="003C2DFB"/>
    <w:pPr>
      <w:tabs>
        <w:tab w:val="right" w:leader="dot" w:pos="9072"/>
      </w:tabs>
      <w:ind w:left="970" w:hanging="403"/>
    </w:pPr>
    <w:rPr>
      <w:rFonts w:ascii="Times New Roman" w:hAnsi="Times New Roman"/>
      <w:b/>
    </w:rPr>
  </w:style>
  <w:style w:type="paragraph" w:styleId="ListNumber">
    <w:name w:val="List Number"/>
    <w:basedOn w:val="List"/>
    <w:rsid w:val="003C2DFB"/>
    <w:pPr>
      <w:numPr>
        <w:numId w:val="15"/>
      </w:numPr>
      <w:tabs>
        <w:tab w:val="clear" w:pos="340"/>
      </w:tabs>
    </w:pPr>
  </w:style>
  <w:style w:type="character" w:customStyle="1" w:styleId="WingdingSymbols">
    <w:name w:val="Wingding Symbols"/>
    <w:rsid w:val="003C2DFB"/>
    <w:rPr>
      <w:rFonts w:ascii="Wingdings" w:hAnsi="Wingdings"/>
    </w:rPr>
  </w:style>
  <w:style w:type="paragraph" w:customStyle="1" w:styleId="TableHeading">
    <w:name w:val="Table Heading"/>
    <w:basedOn w:val="HeadingBase"/>
    <w:rsid w:val="003C2DFB"/>
    <w:pPr>
      <w:keepLines/>
      <w:pBdr>
        <w:bottom w:val="single" w:sz="6" w:space="1" w:color="918585"/>
      </w:pBdr>
      <w:spacing w:before="240"/>
    </w:pPr>
  </w:style>
  <w:style w:type="character" w:customStyle="1" w:styleId="HotSpot">
    <w:name w:val="HotSpot"/>
    <w:rsid w:val="003C2DFB"/>
    <w:rPr>
      <w:color w:val="0033CC"/>
      <w:u w:val="none"/>
    </w:rPr>
  </w:style>
  <w:style w:type="paragraph" w:customStyle="1" w:styleId="BodyTextRight">
    <w:name w:val="Body Text Right"/>
    <w:basedOn w:val="BodyText"/>
    <w:rsid w:val="003C2DFB"/>
    <w:pPr>
      <w:spacing w:before="0" w:after="0"/>
      <w:jc w:val="right"/>
    </w:pPr>
  </w:style>
  <w:style w:type="paragraph" w:styleId="Index3">
    <w:name w:val="index 3"/>
    <w:basedOn w:val="ListNumber2"/>
    <w:next w:val="Normal"/>
    <w:semiHidden/>
    <w:rsid w:val="003C2DFB"/>
    <w:pPr>
      <w:numPr>
        <w:numId w:val="0"/>
      </w:numPr>
      <w:tabs>
        <w:tab w:val="right" w:leader="dot" w:pos="4176"/>
      </w:tabs>
    </w:pPr>
  </w:style>
  <w:style w:type="paragraph" w:styleId="ListNumber2">
    <w:name w:val="List Number 2"/>
    <w:basedOn w:val="List2"/>
    <w:rsid w:val="003C2DFB"/>
    <w:pPr>
      <w:numPr>
        <w:numId w:val="10"/>
      </w:numPr>
      <w:tabs>
        <w:tab w:val="clear" w:pos="1060"/>
      </w:tabs>
    </w:pPr>
  </w:style>
  <w:style w:type="paragraph" w:customStyle="1" w:styleId="MarginNote">
    <w:name w:val="Margin Note"/>
    <w:basedOn w:val="BodyText"/>
    <w:rsid w:val="003C2D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2D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2D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2DFB"/>
    <w:rPr>
      <w:sz w:val="32"/>
    </w:rPr>
  </w:style>
  <w:style w:type="paragraph" w:customStyle="1" w:styleId="HeadingProcedure">
    <w:name w:val="Heading Procedure"/>
    <w:basedOn w:val="HeadingBase"/>
    <w:next w:val="Normal"/>
    <w:rsid w:val="003C2DFB"/>
    <w:pPr>
      <w:tabs>
        <w:tab w:val="left" w:pos="0"/>
      </w:tabs>
      <w:spacing w:before="120" w:after="60"/>
    </w:pPr>
    <w:rPr>
      <w:i/>
      <w:color w:val="918585"/>
      <w:sz w:val="22"/>
    </w:rPr>
  </w:style>
  <w:style w:type="paragraph" w:customStyle="1" w:styleId="TableBodyText">
    <w:name w:val="Table Body Text"/>
    <w:basedOn w:val="BodyText"/>
    <w:rsid w:val="003C2DFB"/>
    <w:pPr>
      <w:spacing w:before="60" w:after="60"/>
    </w:pPr>
  </w:style>
  <w:style w:type="paragraph" w:styleId="ListContinue">
    <w:name w:val="List Continue"/>
    <w:basedOn w:val="List"/>
    <w:rsid w:val="003C2DFB"/>
    <w:pPr>
      <w:ind w:firstLine="0"/>
    </w:pPr>
  </w:style>
  <w:style w:type="paragraph" w:customStyle="1" w:styleId="ListNote">
    <w:name w:val="List Note"/>
    <w:basedOn w:val="List"/>
    <w:rsid w:val="003C2DFB"/>
    <w:pPr>
      <w:pBdr>
        <w:top w:val="single" w:sz="6" w:space="2" w:color="918585"/>
        <w:bottom w:val="single" w:sz="6" w:space="2" w:color="918585"/>
      </w:pBdr>
      <w:tabs>
        <w:tab w:val="left" w:pos="1021"/>
      </w:tabs>
      <w:ind w:firstLine="0"/>
    </w:pPr>
  </w:style>
  <w:style w:type="paragraph" w:customStyle="1" w:styleId="Warning">
    <w:name w:val="Warning"/>
    <w:basedOn w:val="BodyText"/>
    <w:rsid w:val="003C2DFB"/>
    <w:pPr>
      <w:shd w:val="clear" w:color="auto" w:fill="D9D9D9"/>
      <w:tabs>
        <w:tab w:val="left" w:pos="992"/>
      </w:tabs>
      <w:ind w:left="119" w:right="119"/>
    </w:pPr>
    <w:rPr>
      <w:sz w:val="20"/>
    </w:rPr>
  </w:style>
  <w:style w:type="paragraph" w:customStyle="1" w:styleId="MarginIcons">
    <w:name w:val="Margin Icons"/>
    <w:basedOn w:val="BodyText"/>
    <w:rsid w:val="003C2D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2DFB"/>
    <w:rPr>
      <w:rFonts w:ascii="Courier New" w:hAnsi="Courier New"/>
    </w:rPr>
  </w:style>
  <w:style w:type="paragraph" w:customStyle="1" w:styleId="NoteBullet">
    <w:name w:val="Note Bullet"/>
    <w:basedOn w:val="Note"/>
    <w:rsid w:val="003C2DFB"/>
    <w:pPr>
      <w:tabs>
        <w:tab w:val="clear" w:pos="680"/>
      </w:tabs>
      <w:spacing w:before="60" w:after="60"/>
    </w:pPr>
  </w:style>
  <w:style w:type="paragraph" w:customStyle="1" w:styleId="SubHeading2">
    <w:name w:val="SubHeading2"/>
    <w:basedOn w:val="HeadingBase"/>
    <w:rsid w:val="003C2DFB"/>
    <w:pPr>
      <w:spacing w:before="240" w:after="60"/>
    </w:pPr>
    <w:rPr>
      <w:sz w:val="20"/>
    </w:rPr>
  </w:style>
  <w:style w:type="paragraph" w:customStyle="1" w:styleId="SubHeading1">
    <w:name w:val="SubHeading1"/>
    <w:basedOn w:val="HeadingBase"/>
    <w:rsid w:val="003C2DFB"/>
    <w:pPr>
      <w:spacing w:before="240" w:after="60"/>
    </w:pPr>
    <w:rPr>
      <w:color w:val="918585"/>
      <w:sz w:val="22"/>
    </w:rPr>
  </w:style>
  <w:style w:type="paragraph" w:customStyle="1" w:styleId="SideHeading">
    <w:name w:val="Side Heading"/>
    <w:basedOn w:val="HeadingBase"/>
    <w:rsid w:val="003C2D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2DFB"/>
    <w:pPr>
      <w:tabs>
        <w:tab w:val="num" w:pos="360"/>
      </w:tabs>
    </w:pPr>
  </w:style>
  <w:style w:type="paragraph" w:styleId="PlainText">
    <w:name w:val="Plain Text"/>
    <w:basedOn w:val="Normal"/>
    <w:link w:val="PlainTextChar"/>
    <w:rsid w:val="003C2DFB"/>
    <w:rPr>
      <w:sz w:val="20"/>
    </w:rPr>
  </w:style>
  <w:style w:type="character" w:customStyle="1" w:styleId="PlainTextChar">
    <w:name w:val="Plain Text Char"/>
    <w:basedOn w:val="DefaultParagraphFont"/>
    <w:link w:val="PlainText"/>
    <w:rsid w:val="003C2DFB"/>
    <w:rPr>
      <w:rFonts w:ascii="Courier New" w:eastAsia="Times New Roman" w:hAnsi="Courier New" w:cs="Times New Roman"/>
      <w:sz w:val="20"/>
      <w:szCs w:val="20"/>
      <w:lang w:eastAsia="en-US"/>
    </w:rPr>
  </w:style>
  <w:style w:type="character" w:customStyle="1" w:styleId="MenuOption">
    <w:name w:val="Menu Option"/>
    <w:basedOn w:val="DefaultParagraphFont"/>
    <w:rsid w:val="003C2DFB"/>
    <w:rPr>
      <w:b/>
      <w:smallCaps/>
    </w:rPr>
  </w:style>
  <w:style w:type="paragraph" w:customStyle="1" w:styleId="TableListNumber">
    <w:name w:val="Table List Number"/>
    <w:basedOn w:val="ListNumber"/>
    <w:rsid w:val="003C2DFB"/>
    <w:pPr>
      <w:numPr>
        <w:numId w:val="0"/>
      </w:numPr>
    </w:pPr>
  </w:style>
  <w:style w:type="paragraph" w:styleId="TOC4">
    <w:name w:val="toc 4"/>
    <w:basedOn w:val="TOCBase"/>
    <w:next w:val="Normal"/>
    <w:semiHidden/>
    <w:rsid w:val="003C2DFB"/>
    <w:pPr>
      <w:tabs>
        <w:tab w:val="right" w:leader="dot" w:pos="9071"/>
      </w:tabs>
      <w:ind w:left="1701"/>
    </w:pPr>
  </w:style>
  <w:style w:type="paragraph" w:customStyle="1" w:styleId="ListAlpha">
    <w:name w:val="List Alpha"/>
    <w:basedOn w:val="List"/>
    <w:rsid w:val="003C2DFB"/>
    <w:pPr>
      <w:numPr>
        <w:numId w:val="9"/>
      </w:numPr>
    </w:pPr>
  </w:style>
  <w:style w:type="paragraph" w:customStyle="1" w:styleId="ListAlpha2">
    <w:name w:val="List Alpha 2"/>
    <w:basedOn w:val="List2"/>
    <w:rsid w:val="003C2DFB"/>
    <w:pPr>
      <w:numPr>
        <w:numId w:val="8"/>
      </w:numPr>
    </w:pPr>
  </w:style>
  <w:style w:type="paragraph" w:styleId="List2">
    <w:name w:val="List 2"/>
    <w:basedOn w:val="BodyText"/>
    <w:rsid w:val="003C2DFB"/>
    <w:pPr>
      <w:tabs>
        <w:tab w:val="left" w:pos="680"/>
      </w:tabs>
      <w:spacing w:before="60" w:after="60"/>
      <w:ind w:left="680" w:hanging="340"/>
    </w:pPr>
  </w:style>
  <w:style w:type="paragraph" w:styleId="List3">
    <w:name w:val="List 3"/>
    <w:basedOn w:val="BodyText"/>
    <w:rsid w:val="003C2DFB"/>
    <w:pPr>
      <w:tabs>
        <w:tab w:val="left" w:pos="1021"/>
      </w:tabs>
      <w:spacing w:before="60" w:after="60"/>
      <w:ind w:left="1020" w:hanging="340"/>
    </w:pPr>
  </w:style>
  <w:style w:type="paragraph" w:styleId="List4">
    <w:name w:val="List 4"/>
    <w:basedOn w:val="BodyText"/>
    <w:rsid w:val="003C2DFB"/>
    <w:pPr>
      <w:tabs>
        <w:tab w:val="left" w:pos="1361"/>
      </w:tabs>
      <w:spacing w:before="60" w:after="60"/>
      <w:ind w:left="1361" w:hanging="340"/>
    </w:pPr>
  </w:style>
  <w:style w:type="paragraph" w:styleId="List5">
    <w:name w:val="List 5"/>
    <w:basedOn w:val="BodyText"/>
    <w:rsid w:val="003C2DFB"/>
    <w:pPr>
      <w:tabs>
        <w:tab w:val="left" w:pos="1701"/>
      </w:tabs>
      <w:spacing w:before="60" w:after="60"/>
      <w:ind w:left="1701" w:hanging="340"/>
    </w:pPr>
  </w:style>
  <w:style w:type="paragraph" w:styleId="ListBullet3">
    <w:name w:val="List Bullet 3"/>
    <w:basedOn w:val="List3"/>
    <w:rsid w:val="003C2DFB"/>
    <w:pPr>
      <w:numPr>
        <w:numId w:val="14"/>
      </w:numPr>
      <w:tabs>
        <w:tab w:val="clear" w:pos="1021"/>
      </w:tabs>
      <w:ind w:left="1037" w:hanging="357"/>
    </w:pPr>
  </w:style>
  <w:style w:type="paragraph" w:styleId="ListBullet4">
    <w:name w:val="List Bullet 4"/>
    <w:basedOn w:val="List4"/>
    <w:rsid w:val="003C2DFB"/>
    <w:pPr>
      <w:numPr>
        <w:numId w:val="3"/>
      </w:numPr>
      <w:tabs>
        <w:tab w:val="clear" w:pos="1361"/>
      </w:tabs>
    </w:pPr>
  </w:style>
  <w:style w:type="paragraph" w:styleId="ListBullet5">
    <w:name w:val="List Bullet 5"/>
    <w:basedOn w:val="List5"/>
    <w:rsid w:val="003C2DFB"/>
    <w:pPr>
      <w:numPr>
        <w:numId w:val="4"/>
      </w:numPr>
    </w:pPr>
  </w:style>
  <w:style w:type="paragraph" w:styleId="ListContinue2">
    <w:name w:val="List Continue 2"/>
    <w:basedOn w:val="List2"/>
    <w:rsid w:val="003C2DFB"/>
    <w:pPr>
      <w:ind w:firstLine="0"/>
    </w:pPr>
  </w:style>
  <w:style w:type="paragraph" w:styleId="ListContinue3">
    <w:name w:val="List Continue 3"/>
    <w:basedOn w:val="List3"/>
    <w:rsid w:val="003C2DFB"/>
    <w:pPr>
      <w:ind w:left="1021" w:firstLine="0"/>
    </w:pPr>
  </w:style>
  <w:style w:type="paragraph" w:styleId="ListContinue4">
    <w:name w:val="List Continue 4"/>
    <w:basedOn w:val="List4"/>
    <w:rsid w:val="003C2DFB"/>
    <w:pPr>
      <w:ind w:firstLine="0"/>
    </w:pPr>
  </w:style>
  <w:style w:type="paragraph" w:styleId="ListContinue5">
    <w:name w:val="List Continue 5"/>
    <w:basedOn w:val="List5"/>
    <w:rsid w:val="003C2DFB"/>
    <w:pPr>
      <w:ind w:firstLine="0"/>
    </w:pPr>
  </w:style>
  <w:style w:type="paragraph" w:styleId="ListNumber3">
    <w:name w:val="List Number 3"/>
    <w:basedOn w:val="List3"/>
    <w:rsid w:val="003C2DFB"/>
    <w:pPr>
      <w:numPr>
        <w:numId w:val="5"/>
      </w:numPr>
    </w:pPr>
  </w:style>
  <w:style w:type="paragraph" w:styleId="ListNumber4">
    <w:name w:val="List Number 4"/>
    <w:basedOn w:val="List4"/>
    <w:rsid w:val="003C2DFB"/>
    <w:pPr>
      <w:numPr>
        <w:numId w:val="6"/>
      </w:numPr>
    </w:pPr>
  </w:style>
  <w:style w:type="paragraph" w:styleId="ListNumber5">
    <w:name w:val="List Number 5"/>
    <w:basedOn w:val="List5"/>
    <w:rsid w:val="003C2DFB"/>
    <w:pPr>
      <w:numPr>
        <w:numId w:val="7"/>
      </w:numPr>
    </w:pPr>
  </w:style>
  <w:style w:type="paragraph" w:styleId="BlockText">
    <w:name w:val="Block Text"/>
    <w:basedOn w:val="Normal"/>
    <w:rsid w:val="003C2DFB"/>
    <w:pPr>
      <w:spacing w:after="120"/>
      <w:ind w:left="1440" w:right="1440"/>
    </w:pPr>
  </w:style>
  <w:style w:type="character" w:customStyle="1" w:styleId="Subscript">
    <w:name w:val="Subscript"/>
    <w:basedOn w:val="DefaultParagraphFont"/>
    <w:rsid w:val="003C2DFB"/>
    <w:rPr>
      <w:sz w:val="16"/>
      <w:vertAlign w:val="subscript"/>
    </w:rPr>
  </w:style>
  <w:style w:type="character" w:customStyle="1" w:styleId="Superscript">
    <w:name w:val="Superscript"/>
    <w:basedOn w:val="DefaultParagraphFont"/>
    <w:rsid w:val="003C2DFB"/>
    <w:rPr>
      <w:sz w:val="16"/>
      <w:vertAlign w:val="superscript"/>
    </w:rPr>
  </w:style>
  <w:style w:type="character" w:customStyle="1" w:styleId="Symbols">
    <w:name w:val="Symbols"/>
    <w:basedOn w:val="DefaultParagraphFont"/>
    <w:rsid w:val="003C2DFB"/>
    <w:rPr>
      <w:rFonts w:ascii="Symbol" w:hAnsi="Symbol"/>
    </w:rPr>
  </w:style>
  <w:style w:type="character" w:customStyle="1" w:styleId="MenuOptions">
    <w:name w:val="Menu Options"/>
    <w:basedOn w:val="DefaultParagraphFont"/>
    <w:rsid w:val="003C2DFB"/>
    <w:rPr>
      <w:rFonts w:ascii="Arial Narrow" w:hAnsi="Arial Narrow"/>
      <w:smallCaps/>
    </w:rPr>
  </w:style>
  <w:style w:type="character" w:customStyle="1" w:styleId="Buttons">
    <w:name w:val="Buttons"/>
    <w:basedOn w:val="DefaultParagraphFont"/>
    <w:rsid w:val="003C2DFB"/>
    <w:rPr>
      <w:b/>
    </w:rPr>
  </w:style>
  <w:style w:type="character" w:customStyle="1" w:styleId="Underlined">
    <w:name w:val="Underlined"/>
    <w:basedOn w:val="DefaultParagraphFont"/>
    <w:rsid w:val="003C2DFB"/>
    <w:rPr>
      <w:u w:val="single"/>
    </w:rPr>
  </w:style>
  <w:style w:type="paragraph" w:customStyle="1" w:styleId="TableBodyTextRight">
    <w:name w:val="Table Body Text Right"/>
    <w:basedOn w:val="TableBodyText"/>
    <w:rsid w:val="003C2DFB"/>
    <w:pPr>
      <w:widowControl w:val="0"/>
      <w:autoSpaceDE w:val="0"/>
      <w:autoSpaceDN w:val="0"/>
      <w:adjustRightInd w:val="0"/>
      <w:jc w:val="right"/>
    </w:pPr>
    <w:rPr>
      <w:rFonts w:cs="Arial"/>
      <w:szCs w:val="18"/>
    </w:rPr>
  </w:style>
  <w:style w:type="paragraph" w:customStyle="1" w:styleId="CopyrightText">
    <w:name w:val="Copyright Text"/>
    <w:basedOn w:val="BodyText"/>
    <w:rsid w:val="003C2DFB"/>
    <w:rPr>
      <w:sz w:val="18"/>
    </w:rPr>
  </w:style>
  <w:style w:type="paragraph" w:customStyle="1" w:styleId="BodySmallRight">
    <w:name w:val="Body Small Right"/>
    <w:basedOn w:val="BodyTextRight"/>
    <w:rsid w:val="003C2DFB"/>
    <w:rPr>
      <w:sz w:val="18"/>
      <w:szCs w:val="18"/>
    </w:rPr>
  </w:style>
  <w:style w:type="paragraph" w:customStyle="1" w:styleId="MarginEdition">
    <w:name w:val="Margin Edition"/>
    <w:basedOn w:val="MarginNote"/>
    <w:rsid w:val="003C2DFB"/>
    <w:pPr>
      <w:spacing w:before="0" w:after="0"/>
    </w:pPr>
    <w:rPr>
      <w:rFonts w:ascii="Times New Roman" w:hAnsi="Times New Roman"/>
      <w:color w:val="999999"/>
    </w:rPr>
  </w:style>
  <w:style w:type="paragraph" w:customStyle="1" w:styleId="Spacer">
    <w:name w:val="Spacer"/>
    <w:basedOn w:val="Normal"/>
    <w:rsid w:val="003C2DFB"/>
    <w:rPr>
      <w:sz w:val="2"/>
      <w:szCs w:val="2"/>
    </w:rPr>
  </w:style>
  <w:style w:type="character" w:customStyle="1" w:styleId="Small">
    <w:name w:val="Small"/>
    <w:basedOn w:val="DefaultParagraphFont"/>
    <w:rsid w:val="003C2DFB"/>
    <w:rPr>
      <w:sz w:val="16"/>
    </w:rPr>
  </w:style>
  <w:style w:type="paragraph" w:customStyle="1" w:styleId="WideTable">
    <w:name w:val="Wide Table"/>
    <w:basedOn w:val="Normal"/>
    <w:rsid w:val="003C2DFB"/>
    <w:pPr>
      <w:ind w:left="-1418"/>
    </w:pPr>
    <w:rPr>
      <w:sz w:val="2"/>
      <w:szCs w:val="2"/>
    </w:rPr>
  </w:style>
  <w:style w:type="character" w:styleId="PageNumber">
    <w:name w:val="page number"/>
    <w:basedOn w:val="DefaultParagraphFont"/>
    <w:rsid w:val="003C2DFB"/>
  </w:style>
  <w:style w:type="paragraph" w:styleId="Quote">
    <w:name w:val="Quote"/>
    <w:basedOn w:val="Heading1"/>
    <w:link w:val="QuoteChar"/>
    <w:qFormat/>
    <w:rsid w:val="003C2DFB"/>
    <w:rPr>
      <w:b w:val="0"/>
      <w:sz w:val="72"/>
      <w:szCs w:val="72"/>
      <w:lang w:val="en-NZ"/>
    </w:rPr>
  </w:style>
  <w:style w:type="character" w:customStyle="1" w:styleId="QuoteChar">
    <w:name w:val="Quote Char"/>
    <w:basedOn w:val="DefaultParagraphFont"/>
    <w:link w:val="Quote"/>
    <w:rsid w:val="003C2D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2DFB"/>
    <w:pPr>
      <w:pageBreakBefore/>
    </w:pPr>
  </w:style>
  <w:style w:type="paragraph" w:customStyle="1" w:styleId="Border">
    <w:name w:val="Border"/>
    <w:basedOn w:val="Normal"/>
    <w:qFormat/>
    <w:rsid w:val="003C2D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2DFB"/>
    <w:rPr>
      <w:b/>
      <w:bCs/>
      <w:i/>
      <w:iCs/>
      <w:color w:val="auto"/>
    </w:rPr>
  </w:style>
  <w:style w:type="paragraph" w:styleId="IntenseQuote">
    <w:name w:val="Intense Quote"/>
    <w:basedOn w:val="Normal"/>
    <w:next w:val="Normal"/>
    <w:link w:val="IntenseQuoteChar"/>
    <w:uiPriority w:val="30"/>
    <w:qFormat/>
    <w:rsid w:val="003C2D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2D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2DFB"/>
    <w:rPr>
      <w:smallCaps/>
      <w:color w:val="auto"/>
      <w:u w:val="single"/>
    </w:rPr>
  </w:style>
  <w:style w:type="character" w:styleId="IntenseReference">
    <w:name w:val="Intense Reference"/>
    <w:basedOn w:val="DefaultParagraphFont"/>
    <w:uiPriority w:val="32"/>
    <w:qFormat/>
    <w:rsid w:val="003C2DFB"/>
    <w:rPr>
      <w:b/>
      <w:bCs/>
      <w:smallCaps/>
      <w:color w:val="auto"/>
      <w:spacing w:val="5"/>
      <w:u w:val="single"/>
    </w:rPr>
  </w:style>
  <w:style w:type="paragraph" w:customStyle="1" w:styleId="2ColumnHeading">
    <w:name w:val="2Column Heading"/>
    <w:basedOn w:val="BodyText"/>
    <w:qFormat/>
    <w:rsid w:val="003C2DFB"/>
    <w:pPr>
      <w:spacing w:after="60"/>
      <w:ind w:left="-2268"/>
    </w:pPr>
    <w:rPr>
      <w:b/>
    </w:rPr>
  </w:style>
  <w:style w:type="paragraph" w:customStyle="1" w:styleId="Heading1TOC">
    <w:name w:val="Heading1 TOC"/>
    <w:basedOn w:val="Normal"/>
    <w:qFormat/>
    <w:rsid w:val="003C2DFB"/>
    <w:pPr>
      <w:spacing w:before="240" w:after="120"/>
    </w:pPr>
    <w:rPr>
      <w:rFonts w:ascii="Times New Roman" w:hAnsi="Times New Roman"/>
      <w:b/>
      <w:sz w:val="32"/>
    </w:rPr>
  </w:style>
  <w:style w:type="paragraph" w:customStyle="1" w:styleId="Heading2TOC">
    <w:name w:val="Heading2 TOC"/>
    <w:basedOn w:val="Normal"/>
    <w:qFormat/>
    <w:rsid w:val="003C2DFB"/>
    <w:pPr>
      <w:spacing w:before="240" w:after="60"/>
    </w:pPr>
    <w:rPr>
      <w:rFonts w:ascii="Times New Roman" w:hAnsi="Times New Roman"/>
      <w:b/>
      <w:sz w:val="28"/>
    </w:rPr>
  </w:style>
  <w:style w:type="character" w:customStyle="1" w:styleId="Underline">
    <w:name w:val="Underline"/>
    <w:basedOn w:val="DefaultParagraphFont"/>
    <w:qFormat/>
    <w:rsid w:val="003C2DFB"/>
    <w:rPr>
      <w:u w:val="single"/>
    </w:rPr>
  </w:style>
  <w:style w:type="character" w:customStyle="1" w:styleId="BoldandItalics">
    <w:name w:val="Bold and Italics"/>
    <w:qFormat/>
    <w:rsid w:val="003C2DFB"/>
    <w:rPr>
      <w:b/>
      <w:i/>
      <w:u w:val="none"/>
    </w:rPr>
  </w:style>
  <w:style w:type="paragraph" w:styleId="BalloonText">
    <w:name w:val="Balloon Text"/>
    <w:basedOn w:val="Normal"/>
    <w:link w:val="BalloonTextChar"/>
    <w:rsid w:val="003C2DFB"/>
    <w:rPr>
      <w:rFonts w:ascii="Tahoma" w:hAnsi="Tahoma" w:cs="Tahoma"/>
      <w:sz w:val="16"/>
      <w:szCs w:val="16"/>
    </w:rPr>
  </w:style>
  <w:style w:type="character" w:customStyle="1" w:styleId="BalloonTextChar">
    <w:name w:val="Balloon Text Char"/>
    <w:basedOn w:val="DefaultParagraphFont"/>
    <w:link w:val="BalloonText"/>
    <w:rsid w:val="003C2D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2D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2D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2DFB"/>
    <w:rPr>
      <w:b/>
      <w:color w:val="660033"/>
      <w:spacing w:val="0"/>
    </w:rPr>
  </w:style>
  <w:style w:type="paragraph" w:customStyle="1" w:styleId="Nameditemlist">
    <w:name w:val="Named item list"/>
    <w:basedOn w:val="BodyText"/>
    <w:qFormat/>
    <w:rsid w:val="003C2DFB"/>
    <w:pPr>
      <w:tabs>
        <w:tab w:val="left" w:pos="2835"/>
      </w:tabs>
      <w:ind w:left="2835" w:hanging="2835"/>
    </w:pPr>
  </w:style>
  <w:style w:type="paragraph" w:customStyle="1" w:styleId="BodyTextnopadding">
    <w:name w:val="Body Text no padding"/>
    <w:basedOn w:val="BodyText"/>
    <w:qFormat/>
    <w:rsid w:val="003C2DFB"/>
    <w:pPr>
      <w:spacing w:before="0" w:after="0"/>
    </w:pPr>
  </w:style>
  <w:style w:type="character" w:styleId="Hyperlink">
    <w:name w:val="Hyperlink"/>
    <w:basedOn w:val="DefaultParagraphFont"/>
    <w:uiPriority w:val="99"/>
    <w:unhideWhenUsed/>
    <w:rsid w:val="00506E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1382</Words>
  <Characters>9083</Characters>
  <Application>Microsoft Office Word</Application>
  <DocSecurity>0</DocSecurity>
  <Lines>252</Lines>
  <Paragraphs>168</Paragraphs>
  <ScaleCrop>false</ScaleCrop>
  <Company>Author-it Software Corporation Ltd.</Company>
  <LinksUpToDate>false</LinksUpToDate>
  <CharactersWithSpaces>10297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FBPOPR2082 Operate a mixing or blending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2025-03-01T16:32:00Z</dcterms:created>
  <dcterms:modified xsi:type="dcterms:W3CDTF">2025-03-01T16:32:00Z</dcterms:modified>
</cp:coreProperties>
</file>