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8E7" w:rsidP="00B27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FBPOPR2028 Operate a mixing or blending process</w:t>
      </w:r>
      <w:r>
        <w:fldChar w:fldCharType="end"/>
      </w:r>
    </w:p>
    <w:p w:rsidR="00B278E7" w:rsidP="00B278E7">
      <w:pPr>
        <w:pStyle w:val="Version"/>
        <w:sectPr w:rsidSect="00FB56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682" w:rsidP="00FB5682">
      <w:pPr>
        <w:pStyle w:val="SuperHeading"/>
      </w:pPr>
      <w:r w:rsidRPr="00FB5682">
        <w:t>FBPOPR2028 Operate a mixing or blending process</w:t>
      </w:r>
    </w:p>
    <w:p w:rsidR="00000000" w:rsidRPr="00FB5682" w:rsidP="00FB5682">
      <w:pPr>
        <w:pStyle w:val="Heading1"/>
      </w:pPr>
      <w:bookmarkStart w:id="1" w:name="O_971933"/>
      <w:bookmarkEnd w:id="1"/>
      <w:r w:rsidRPr="00FB56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rPr>
                <w:rStyle w:val="SpecialBold"/>
              </w:rPr>
              <w:t>Comments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t>This version released with FBP Food, Beverage and Pharmaceutical Training Package Version 1.0</w:t>
            </w:r>
          </w:p>
        </w:tc>
      </w:tr>
    </w:tbl>
    <w:p w:rsidR="00000000" w:rsidRPr="00FB5682" w:rsidP="00FB5682">
      <w:pPr>
        <w:pStyle w:val="BodyText"/>
      </w:pPr>
    </w:p>
    <w:p w:rsidR="00000000" w:rsidRPr="00FB5682" w:rsidP="00FB5682">
      <w:pPr>
        <w:pStyle w:val="AllowPageBreak"/>
      </w:pPr>
    </w:p>
    <w:p w:rsidR="00000000" w:rsidRPr="00FB5682" w:rsidP="00FB5682">
      <w:pPr>
        <w:pStyle w:val="Heading1"/>
      </w:pPr>
      <w:bookmarkStart w:id="2" w:name="O_971934"/>
      <w:bookmarkEnd w:id="2"/>
      <w:r w:rsidRPr="00FB5682">
        <w:t>Application</w:t>
      </w:r>
    </w:p>
    <w:p w:rsidR="00000000" w:rsidRPr="00FB5682" w:rsidP="00B278E7">
      <w:pPr>
        <w:pStyle w:val="BodyText"/>
      </w:pPr>
      <w:r w:rsidRPr="00FB5682">
        <w:t>This unit of competency describes the skills and knowledge required to com</w:t>
      </w:r>
      <w:r w:rsidRPr="00FB5682">
        <w:t>bine ingredients and additives in the correct quantities and sequence, and to operate and shut down mixing and blending equipment to achieve the required mix characteristics.</w:t>
      </w:r>
    </w:p>
    <w:p w:rsidR="00000000" w:rsidRPr="00FB5682" w:rsidP="00B278E7">
      <w:pPr>
        <w:pStyle w:val="BodyText"/>
      </w:pPr>
      <w:r w:rsidRPr="00FB5682">
        <w:t xml:space="preserve">This unit applies to individuals who work under general supervision and exercise </w:t>
      </w:r>
      <w:r w:rsidRPr="00FB5682">
        <w:t>limited autonomy in the food processing industry. Mixes may include concentrated pre-mixes or bulk blends. The output of this process may be a product requiring further processing or for external use.</w:t>
      </w:r>
    </w:p>
    <w:p w:rsidR="00000000" w:rsidRPr="00FB5682" w:rsidP="00B278E7">
      <w:pPr>
        <w:pStyle w:val="BodyText"/>
      </w:pPr>
      <w:r w:rsidRPr="00FB5682">
        <w:t>All work must be carried out to comply with workplace p</w:t>
      </w:r>
      <w:r w:rsidRPr="00FB5682">
        <w:t xml:space="preserve">rocedures, in accordance with State/Territory food safety, and work health and safety, regulations and legislation that apply to the workplace. </w:t>
      </w:r>
    </w:p>
    <w:p w:rsidR="00000000" w:rsidRPr="00FB5682" w:rsidP="00B278E7">
      <w:pPr>
        <w:pStyle w:val="BodyText"/>
      </w:pPr>
      <w:r w:rsidRPr="00FB5682">
        <w:t>No occupational licensing, legislative or certification requirements apply to this unit at the time of publicat</w:t>
      </w:r>
      <w:r w:rsidRPr="00FB5682">
        <w:t>ion.</w:t>
      </w:r>
    </w:p>
    <w:p w:rsidR="00000000" w:rsidRPr="00FB5682" w:rsidP="00FB5682">
      <w:pPr>
        <w:pStyle w:val="Heading1"/>
      </w:pPr>
      <w:bookmarkStart w:id="3" w:name="O_971935"/>
      <w:bookmarkEnd w:id="3"/>
      <w:r w:rsidRPr="00FB5682">
        <w:t>Pre-requisite Unit</w:t>
      </w:r>
    </w:p>
    <w:p w:rsidR="00000000" w:rsidRPr="00FB5682" w:rsidP="00B278E7">
      <w:pPr>
        <w:pStyle w:val="BodyText"/>
      </w:pPr>
      <w:r w:rsidRPr="00FB5682">
        <w:t>Nil</w:t>
      </w:r>
    </w:p>
    <w:p w:rsidR="00000000" w:rsidRPr="00FB5682" w:rsidP="00FB5682">
      <w:pPr>
        <w:pStyle w:val="Heading1"/>
      </w:pPr>
      <w:bookmarkStart w:id="4" w:name="O_971937"/>
      <w:bookmarkEnd w:id="4"/>
      <w:r w:rsidRPr="00FB5682">
        <w:t>Unit Sector</w:t>
      </w:r>
    </w:p>
    <w:p w:rsidR="00000000" w:rsidRPr="00FB5682" w:rsidP="00B278E7">
      <w:pPr>
        <w:pStyle w:val="BodyText"/>
      </w:pPr>
      <w:r w:rsidRPr="00FB5682">
        <w:t>Operational (OPR)</w:t>
      </w:r>
    </w:p>
    <w:p w:rsidR="00000000" w:rsidRPr="00FB5682" w:rsidP="00FB5682">
      <w:pPr>
        <w:pStyle w:val="Heading1"/>
      </w:pPr>
      <w:bookmarkStart w:id="5" w:name="O_971938"/>
      <w:bookmarkEnd w:id="5"/>
      <w:r w:rsidRPr="00FB56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7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rPr>
                <w:rStyle w:val="SpecialBold"/>
              </w:rPr>
              <w:t>Performance Criteria</w:t>
            </w:r>
          </w:p>
        </w:tc>
      </w:tr>
      <w:tr w:rsidTr="00B27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7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t>1.1 Confirm materials are available to meet production requirements</w:t>
            </w:r>
          </w:p>
          <w:p w:rsidR="00000000" w:rsidRPr="00FB5682" w:rsidP="00FB5682">
            <w:pPr>
              <w:pStyle w:val="BodyText"/>
            </w:pPr>
            <w:r w:rsidRPr="00FB5682">
              <w:t>1.2 Wear appropriate personal protective clothing an</w:t>
            </w:r>
            <w:r w:rsidRPr="00FB5682">
              <w:t xml:space="preserve">d ensure correct </w:t>
            </w:r>
            <w:r w:rsidRPr="00FB5682">
              <w:t>fit according to work health and safety requirements</w:t>
            </w:r>
          </w:p>
          <w:p w:rsidR="00000000" w:rsidRPr="00FB5682" w:rsidP="00FB5682">
            <w:pPr>
              <w:pStyle w:val="BodyText"/>
            </w:pPr>
            <w:r w:rsidRPr="00FB5682">
              <w:t>1.3 Prepare pre-mixes according to food safety and job requirements</w:t>
            </w:r>
          </w:p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1.4 Identify and confirm cleaning and maintenance requirements and status</w:t>
            </w:r>
          </w:p>
        </w:tc>
      </w:tr>
      <w:tr w:rsidTr="00B27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2. Prepare the mixing or blending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t>2.1 Fit machine components and related attachments and adjust to meet operating requirements</w:t>
            </w:r>
          </w:p>
          <w:p w:rsidR="00000000" w:rsidRPr="00FB5682" w:rsidP="00FB5682">
            <w:pPr>
              <w:pStyle w:val="BodyText"/>
            </w:pPr>
            <w:r w:rsidRPr="00FB5682">
              <w:t>2.2 Enter processing or operating parameters to meet production requirements</w:t>
            </w:r>
          </w:p>
          <w:p w:rsidR="00000000" w:rsidRPr="00FB5682" w:rsidP="00FB5682">
            <w:pPr>
              <w:pStyle w:val="BodyText"/>
            </w:pPr>
            <w:r w:rsidRPr="00FB5682">
              <w:t>2.3 Check equipm</w:t>
            </w:r>
            <w:r w:rsidRPr="00FB5682">
              <w:t>ent performance and adjust according to operating requirements</w:t>
            </w:r>
          </w:p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2.4 Perform pre-start checks according to operator instructions</w:t>
            </w:r>
          </w:p>
        </w:tc>
      </w:tr>
      <w:tr w:rsidTr="00B27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3. Operate and monitor the mixing or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t>3.1 Deliver ingredients and additives to the mixer in the required quantit</w:t>
            </w:r>
            <w:r w:rsidRPr="00FB5682">
              <w:t>ies and sequence to meet recipe specifications</w:t>
            </w:r>
          </w:p>
          <w:p w:rsidR="00000000" w:rsidRPr="00FB5682" w:rsidP="00FB5682">
            <w:pPr>
              <w:pStyle w:val="BodyText"/>
            </w:pPr>
            <w:r w:rsidRPr="00FB5682">
              <w:t>3.2 Start, operate and monitor the process for variation in operating conditions according to work health and safety and operating procedures</w:t>
            </w:r>
          </w:p>
          <w:p w:rsidR="00000000" w:rsidRPr="00FB5682" w:rsidP="00FB5682">
            <w:pPr>
              <w:pStyle w:val="BodyText"/>
            </w:pPr>
            <w:r w:rsidRPr="00FB5682">
              <w:t>3.3 Monitor the mixing process to confirm that specifications are m</w:t>
            </w:r>
            <w:r w:rsidRPr="00FB5682">
              <w:t>et</w:t>
            </w:r>
          </w:p>
          <w:p w:rsidR="00000000" w:rsidRPr="00FB5682" w:rsidP="00FB5682">
            <w:pPr>
              <w:pStyle w:val="BodyText"/>
            </w:pPr>
            <w:r w:rsidRPr="00FB5682">
              <w:t>3.4 Identify, rectify and report out-of-specification equipment, product or process outcomes according to workplace requirements</w:t>
            </w:r>
          </w:p>
          <w:p w:rsidR="00000000" w:rsidRPr="00FB5682" w:rsidP="00FB5682">
            <w:pPr>
              <w:pStyle w:val="BodyText"/>
            </w:pPr>
            <w:r w:rsidRPr="00FB5682">
              <w:t>3.5 Transfer mix to required production or storage location according to food safety and workplace procedures</w:t>
            </w:r>
          </w:p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3.6 Follow and</w:t>
            </w:r>
            <w:r w:rsidRPr="00FB5682">
              <w:t xml:space="preserve"> apply workplace cleaning and environmental procedures</w:t>
            </w:r>
          </w:p>
        </w:tc>
      </w:tr>
      <w:tr w:rsidTr="00B278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4. Shut down the mixing or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t>4.1 Identify the appropriate shutdown procedure</w:t>
            </w:r>
          </w:p>
          <w:p w:rsidR="00000000" w:rsidRPr="00FB5682" w:rsidP="00FB5682">
            <w:pPr>
              <w:pStyle w:val="BodyText"/>
            </w:pPr>
            <w:r w:rsidRPr="00FB5682">
              <w:t>4.2 Shut down the process safely according to operating procedures</w:t>
            </w:r>
          </w:p>
          <w:p w:rsidR="00000000" w:rsidRPr="00FB5682" w:rsidP="00FB5682">
            <w:pPr>
              <w:pStyle w:val="BodyText"/>
            </w:pPr>
            <w:r w:rsidRPr="00FB5682">
              <w:t>4.3 Identify and report maintenance requi</w:t>
            </w:r>
            <w:r w:rsidRPr="00FB5682">
              <w:t>rements according to workplace procedures</w:t>
            </w:r>
          </w:p>
          <w:p w:rsidR="00000000" w:rsidRPr="00FB5682" w:rsidP="00FB5682">
            <w:pPr>
              <w:pStyle w:val="BodyText"/>
            </w:pPr>
            <w:r w:rsidRPr="00FB5682">
              <w:t>4.4 Maintain workplace records in required format</w:t>
            </w:r>
          </w:p>
        </w:tc>
      </w:tr>
    </w:tbl>
    <w:p w:rsidR="00000000" w:rsidRPr="00FB5682" w:rsidP="00FB5682">
      <w:pPr>
        <w:pStyle w:val="BodyText"/>
      </w:pPr>
    </w:p>
    <w:p w:rsidR="00000000" w:rsidRPr="00FB5682" w:rsidP="00FB5682">
      <w:pPr>
        <w:pStyle w:val="AllowPageBreak"/>
      </w:pPr>
    </w:p>
    <w:p w:rsidR="00000000" w:rsidRPr="00FB5682" w:rsidP="00FB5682">
      <w:pPr>
        <w:pStyle w:val="Heading1"/>
      </w:pPr>
      <w:bookmarkStart w:id="6" w:name="O_971939"/>
      <w:bookmarkEnd w:id="6"/>
      <w:r w:rsidRPr="00FB5682">
        <w:t>Foundation Skills</w:t>
      </w:r>
    </w:p>
    <w:p w:rsidR="00000000" w:rsidRPr="00B278E7" w:rsidP="00B278E7">
      <w:pPr>
        <w:pStyle w:val="BodyText"/>
        <w:rPr>
          <w:i/>
        </w:rPr>
      </w:pPr>
      <w:r w:rsidRPr="00B278E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rPr>
                <w:rStyle w:val="SpecialBold"/>
              </w:rPr>
              <w:t>Description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ListBullet"/>
            </w:pPr>
            <w:r w:rsidRPr="00FB5682">
              <w:t>Interpret workplace and standard ope</w:t>
            </w:r>
            <w:r w:rsidRPr="00FB5682">
              <w:t>rating procedures relevant to job role</w:t>
            </w:r>
          </w:p>
          <w:p w:rsidR="00000000" w:rsidP="00FB5682">
            <w:pPr>
              <w:pStyle w:val="ListBullet"/>
              <w:rPr>
                <w:lang w:val="en-NZ"/>
              </w:rPr>
            </w:pPr>
            <w:r w:rsidRPr="00FB5682">
              <w:t>Interpret production requirements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ListBullet"/>
              <w:rPr>
                <w:lang w:val="en-NZ"/>
              </w:rPr>
            </w:pPr>
            <w:r w:rsidRPr="00FB5682">
              <w:t>Record operating, routine maintenance and shutdown information on paper-based and electronic media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ListBullet"/>
            </w:pPr>
            <w:r w:rsidRPr="00FB5682">
              <w:t>Monitor and interpret production and process control indicators and data</w:t>
            </w:r>
          </w:p>
          <w:p w:rsidR="00000000" w:rsidP="00FB5682">
            <w:pPr>
              <w:pStyle w:val="ListBullet"/>
              <w:rPr>
                <w:lang w:val="en-NZ"/>
              </w:rPr>
            </w:pPr>
            <w:r w:rsidRPr="00FB5682">
              <w:t>Monitor supply and flow of materials to and from the process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ListBullet"/>
            </w:pPr>
            <w:r w:rsidRPr="00FB5682">
              <w:t>Apply workplace procedures to own role and responsibilities</w:t>
            </w:r>
          </w:p>
          <w:p w:rsidR="00000000" w:rsidRPr="00FB5682" w:rsidP="00FB5682">
            <w:pPr>
              <w:pStyle w:val="ListBullet"/>
            </w:pPr>
            <w:r w:rsidRPr="00FB5682">
              <w:t>Identify skills, knowledge and ex</w:t>
            </w:r>
            <w:r w:rsidRPr="00FB5682">
              <w:t>perience required for performing own role in the workplace</w:t>
            </w:r>
          </w:p>
          <w:p w:rsidR="00000000" w:rsidP="00FB5682">
            <w:pPr>
              <w:pStyle w:val="ListBullet"/>
              <w:rPr>
                <w:lang w:val="en-NZ"/>
              </w:rPr>
            </w:pPr>
            <w:r w:rsidRPr="00FB5682">
              <w:t>Ask questions to clarify understanding or seek further information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ListBullet"/>
            </w:pPr>
            <w:r w:rsidRPr="00FB5682">
              <w:t>Communicate and report operational and safety information to relevant personnel</w:t>
            </w:r>
          </w:p>
          <w:p w:rsidR="00000000" w:rsidP="00FB5682">
            <w:pPr>
              <w:pStyle w:val="ListBullet"/>
              <w:rPr>
                <w:lang w:val="en-NZ"/>
              </w:rPr>
            </w:pPr>
            <w:r w:rsidRPr="00FB5682">
              <w:t xml:space="preserve">Use modes of communication </w:t>
            </w:r>
            <w:r w:rsidRPr="00FB5682">
              <w:t>suitable to purpose to confirm understanding when conducting operational start-up and shutdown procedures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ListBullet"/>
            </w:pPr>
            <w:r w:rsidRPr="00FB5682">
              <w:t>Access and interpret process control panels and system</w:t>
            </w:r>
          </w:p>
          <w:p w:rsidR="00000000" w:rsidRPr="00FB5682" w:rsidP="00FB5682">
            <w:pPr>
              <w:pStyle w:val="ListBullet"/>
            </w:pPr>
            <w:r w:rsidRPr="00FB5682">
              <w:t>Maintain a clean and hazard-free work area</w:t>
            </w:r>
          </w:p>
          <w:p w:rsidR="00000000" w:rsidRPr="00FB5682" w:rsidP="00FB5682">
            <w:pPr>
              <w:pStyle w:val="ListBullet"/>
            </w:pPr>
            <w:r w:rsidRPr="00FB5682">
              <w:t>Identify out-of-specification standards and maintain quality specifications</w:t>
            </w:r>
          </w:p>
          <w:p w:rsidR="00000000" w:rsidRPr="00FB5682" w:rsidP="00FB5682">
            <w:pPr>
              <w:pStyle w:val="ListBullet"/>
            </w:pPr>
            <w:r w:rsidRPr="00FB5682">
              <w:t>Confirm equipment status and condition</w:t>
            </w:r>
          </w:p>
          <w:p w:rsidR="00000000" w:rsidRPr="00FB5682" w:rsidP="00FB5682">
            <w:pPr>
              <w:pStyle w:val="ListBullet"/>
            </w:pPr>
            <w:r w:rsidRPr="00FB5682">
              <w:t>Interpret process and equipment information to monitor process and respond to abnormal performance and variations</w:t>
            </w:r>
          </w:p>
        </w:tc>
      </w:tr>
    </w:tbl>
    <w:p w:rsidR="00000000" w:rsidRPr="00FB5682" w:rsidP="00FB5682">
      <w:pPr>
        <w:pStyle w:val="BodyText"/>
      </w:pPr>
    </w:p>
    <w:p w:rsidR="00000000" w:rsidRPr="00FB5682" w:rsidP="00FB5682">
      <w:pPr>
        <w:pStyle w:val="AllowPageBreak"/>
      </w:pPr>
    </w:p>
    <w:p w:rsidR="00000000" w:rsidRPr="00FB5682" w:rsidP="00FB5682">
      <w:pPr>
        <w:pStyle w:val="Heading1"/>
      </w:pPr>
      <w:bookmarkStart w:id="7" w:name="O_971941"/>
      <w:bookmarkEnd w:id="7"/>
      <w:r w:rsidRPr="00FB5682">
        <w:t>Unit Map</w:t>
      </w:r>
      <w:r w:rsidRPr="00FB5682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rPr>
                <w:rStyle w:val="SpecialBold"/>
              </w:rPr>
              <w:t>Equivalence status</w:t>
            </w:r>
          </w:p>
        </w:tc>
      </w:tr>
      <w:tr w:rsidTr="00FB56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FBPOPR2028 Operate a mixing or blending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FDFOP2028A Operate a mixing or blending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682">
            <w:pPr>
              <w:pStyle w:val="BodyText"/>
              <w:rPr>
                <w:lang w:val="en-NZ"/>
              </w:rPr>
            </w:pPr>
            <w:r w:rsidRPr="00FB568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682" w:rsidP="00FB5682">
            <w:pPr>
              <w:pStyle w:val="BodyText"/>
            </w:pPr>
            <w:r w:rsidRPr="00FB5682">
              <w:t>Equivalent unit</w:t>
            </w:r>
          </w:p>
        </w:tc>
      </w:tr>
    </w:tbl>
    <w:p w:rsidR="00000000" w:rsidRPr="00FB5682" w:rsidP="00FB5682">
      <w:pPr>
        <w:pStyle w:val="BodyText"/>
      </w:pPr>
    </w:p>
    <w:p w:rsidR="00000000" w:rsidRPr="00FB5682" w:rsidP="00FB5682">
      <w:pPr>
        <w:pStyle w:val="AllowPageBreak"/>
      </w:pPr>
    </w:p>
    <w:p w:rsidR="00000000" w:rsidRPr="00FB5682" w:rsidP="00FB5682">
      <w:pPr>
        <w:pStyle w:val="Heading1"/>
      </w:pPr>
      <w:bookmarkStart w:id="8" w:name="O_971948"/>
      <w:bookmarkEnd w:id="8"/>
      <w:r w:rsidRPr="00FB5682">
        <w:t>Links</w:t>
      </w:r>
    </w:p>
    <w:p w:rsidR="00000000" w:rsidRPr="00FB5682" w:rsidP="00B278E7">
      <w:pPr>
        <w:pStyle w:val="BodyText"/>
      </w:pPr>
      <w:r w:rsidRPr="00FB56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4A4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B5682" w:rsidP="00FB5682"/>
    <w:sectPr w:rsidSect="00FB56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82" w:rsidRPr="00B278E7" w:rsidP="00B27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7" w:rsidP="00FB56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8E7" w:rsidP="00FB56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78E7" w:rsidP="00FB56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682" w:rsidRPr="00B278E7" w:rsidP="00B27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6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8E7" w:rsidRPr="002D2AF8" w:rsidP="00FB56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FBPOPR2028 Operate a mixing or blending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278E7" w:rsidP="00FB56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200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4C61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6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6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6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6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6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6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6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6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6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6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6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682"/>
  </w:style>
  <w:style w:type="character" w:customStyle="1" w:styleId="Heading1Char">
    <w:name w:val="Heading 1 Char"/>
    <w:basedOn w:val="DefaultParagraphFont"/>
    <w:link w:val="Heading1"/>
    <w:rsid w:val="00FB56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6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6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56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682"/>
    <w:rPr>
      <w:b/>
      <w:spacing w:val="0"/>
    </w:rPr>
  </w:style>
  <w:style w:type="character" w:styleId="Emphasis">
    <w:name w:val="Emphasis"/>
    <w:basedOn w:val="DefaultParagraphFont"/>
    <w:qFormat/>
    <w:rsid w:val="00FB5682"/>
    <w:rPr>
      <w:i/>
    </w:rPr>
  </w:style>
  <w:style w:type="paragraph" w:customStyle="1" w:styleId="SuperHeading">
    <w:name w:val="SuperHeading"/>
    <w:basedOn w:val="Normal"/>
    <w:rsid w:val="00FB56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6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6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6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6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6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6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6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6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6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6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6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6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6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6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6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6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6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56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56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6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6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6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6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6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6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6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6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6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6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6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6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6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6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6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6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682"/>
  </w:style>
  <w:style w:type="paragraph" w:styleId="TableofFigures">
    <w:name w:val="table of figures"/>
    <w:basedOn w:val="Normal"/>
    <w:next w:val="Normal"/>
    <w:semiHidden/>
    <w:rsid w:val="00FB56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6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682"/>
    <w:rPr>
      <w:rFonts w:ascii="Wingdings" w:hAnsi="Wingdings"/>
    </w:rPr>
  </w:style>
  <w:style w:type="paragraph" w:customStyle="1" w:styleId="TableHeading">
    <w:name w:val="Table Heading"/>
    <w:basedOn w:val="HeadingBase"/>
    <w:rsid w:val="00FB56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682"/>
    <w:rPr>
      <w:color w:val="0033CC"/>
      <w:u w:val="none"/>
    </w:rPr>
  </w:style>
  <w:style w:type="paragraph" w:customStyle="1" w:styleId="BodyTextRight">
    <w:name w:val="Body Text Right"/>
    <w:basedOn w:val="BodyText"/>
    <w:rsid w:val="00FB56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6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6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6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6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6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682"/>
    <w:rPr>
      <w:sz w:val="32"/>
    </w:rPr>
  </w:style>
  <w:style w:type="paragraph" w:customStyle="1" w:styleId="HeadingProcedure">
    <w:name w:val="Heading Procedure"/>
    <w:basedOn w:val="HeadingBase"/>
    <w:next w:val="Normal"/>
    <w:rsid w:val="00FB56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682"/>
    <w:pPr>
      <w:spacing w:before="60" w:after="60"/>
    </w:pPr>
  </w:style>
  <w:style w:type="paragraph" w:styleId="ListContinue">
    <w:name w:val="List Continue"/>
    <w:basedOn w:val="List"/>
    <w:rsid w:val="00FB5682"/>
    <w:pPr>
      <w:ind w:firstLine="0"/>
    </w:pPr>
  </w:style>
  <w:style w:type="paragraph" w:customStyle="1" w:styleId="ListNote">
    <w:name w:val="List Note"/>
    <w:basedOn w:val="List"/>
    <w:rsid w:val="00FB56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6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6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682"/>
    <w:rPr>
      <w:rFonts w:ascii="Courier New" w:hAnsi="Courier New"/>
    </w:rPr>
  </w:style>
  <w:style w:type="paragraph" w:customStyle="1" w:styleId="NoteBullet">
    <w:name w:val="Note Bullet"/>
    <w:basedOn w:val="Note"/>
    <w:rsid w:val="00FB56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6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6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6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6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6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6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682"/>
    <w:rPr>
      <w:b/>
      <w:smallCaps/>
    </w:rPr>
  </w:style>
  <w:style w:type="paragraph" w:customStyle="1" w:styleId="TableListNumber">
    <w:name w:val="Table List Number"/>
    <w:basedOn w:val="ListNumber"/>
    <w:rsid w:val="00FB56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6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682"/>
    <w:pPr>
      <w:numPr>
        <w:numId w:val="8"/>
      </w:numPr>
    </w:pPr>
  </w:style>
  <w:style w:type="paragraph" w:customStyle="1" w:styleId="ListAlpha2">
    <w:name w:val="List Alpha 2"/>
    <w:basedOn w:val="List2"/>
    <w:rsid w:val="00FB5682"/>
    <w:pPr>
      <w:numPr>
        <w:numId w:val="7"/>
      </w:numPr>
    </w:pPr>
  </w:style>
  <w:style w:type="paragraph" w:styleId="List2">
    <w:name w:val="List 2"/>
    <w:basedOn w:val="BodyText"/>
    <w:rsid w:val="00FB56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6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6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6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6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6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682"/>
    <w:pPr>
      <w:numPr>
        <w:numId w:val="3"/>
      </w:numPr>
    </w:pPr>
  </w:style>
  <w:style w:type="paragraph" w:styleId="ListContinue2">
    <w:name w:val="List Continue 2"/>
    <w:basedOn w:val="List2"/>
    <w:rsid w:val="00FB5682"/>
    <w:pPr>
      <w:ind w:firstLine="0"/>
    </w:pPr>
  </w:style>
  <w:style w:type="paragraph" w:styleId="ListContinue3">
    <w:name w:val="List Continue 3"/>
    <w:basedOn w:val="List3"/>
    <w:rsid w:val="00FB5682"/>
    <w:pPr>
      <w:ind w:left="1021" w:firstLine="0"/>
    </w:pPr>
  </w:style>
  <w:style w:type="paragraph" w:styleId="ListContinue4">
    <w:name w:val="List Continue 4"/>
    <w:basedOn w:val="List4"/>
    <w:rsid w:val="00FB5682"/>
    <w:pPr>
      <w:ind w:firstLine="0"/>
    </w:pPr>
  </w:style>
  <w:style w:type="paragraph" w:styleId="ListContinue5">
    <w:name w:val="List Continue 5"/>
    <w:basedOn w:val="List5"/>
    <w:rsid w:val="00FB5682"/>
    <w:pPr>
      <w:ind w:firstLine="0"/>
    </w:pPr>
  </w:style>
  <w:style w:type="paragraph" w:styleId="ListNumber3">
    <w:name w:val="List Number 3"/>
    <w:basedOn w:val="List3"/>
    <w:rsid w:val="00FB5682"/>
    <w:pPr>
      <w:numPr>
        <w:numId w:val="4"/>
      </w:numPr>
    </w:pPr>
  </w:style>
  <w:style w:type="paragraph" w:styleId="ListNumber4">
    <w:name w:val="List Number 4"/>
    <w:basedOn w:val="List4"/>
    <w:rsid w:val="00FB5682"/>
    <w:pPr>
      <w:numPr>
        <w:numId w:val="5"/>
      </w:numPr>
    </w:pPr>
  </w:style>
  <w:style w:type="paragraph" w:styleId="ListNumber5">
    <w:name w:val="List Number 5"/>
    <w:basedOn w:val="List5"/>
    <w:rsid w:val="00FB5682"/>
    <w:pPr>
      <w:numPr>
        <w:numId w:val="6"/>
      </w:numPr>
    </w:pPr>
  </w:style>
  <w:style w:type="paragraph" w:styleId="BlockText">
    <w:name w:val="Block Text"/>
    <w:basedOn w:val="Normal"/>
    <w:rsid w:val="00FB56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6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682"/>
    <w:rPr>
      <w:sz w:val="16"/>
      <w:vertAlign w:val="superscript"/>
    </w:rPr>
  </w:style>
  <w:style w:type="character" w:customStyle="1" w:styleId="Symbols">
    <w:name w:val="Symbols"/>
    <w:basedOn w:val="DefaultParagraphFont"/>
    <w:rsid w:val="00FB5682"/>
    <w:rPr>
      <w:rFonts w:ascii="Symbol" w:hAnsi="Symbol"/>
    </w:rPr>
  </w:style>
  <w:style w:type="character" w:customStyle="1" w:styleId="MenuOptions">
    <w:name w:val="Menu Options"/>
    <w:basedOn w:val="DefaultParagraphFont"/>
    <w:rsid w:val="00FB56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682"/>
    <w:rPr>
      <w:b/>
    </w:rPr>
  </w:style>
  <w:style w:type="character" w:customStyle="1" w:styleId="Underlined">
    <w:name w:val="Underlined"/>
    <w:basedOn w:val="DefaultParagraphFont"/>
    <w:rsid w:val="00FB5682"/>
    <w:rPr>
      <w:u w:val="single"/>
    </w:rPr>
  </w:style>
  <w:style w:type="paragraph" w:customStyle="1" w:styleId="TableBodyTextRight">
    <w:name w:val="Table Body Text Right"/>
    <w:basedOn w:val="TableBodyText"/>
    <w:rsid w:val="00FB56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682"/>
    <w:rPr>
      <w:sz w:val="18"/>
    </w:rPr>
  </w:style>
  <w:style w:type="paragraph" w:customStyle="1" w:styleId="BodySmallRight">
    <w:name w:val="Body Small Right"/>
    <w:basedOn w:val="BodyTextRight"/>
    <w:rsid w:val="00FB5682"/>
    <w:rPr>
      <w:sz w:val="18"/>
      <w:szCs w:val="18"/>
    </w:rPr>
  </w:style>
  <w:style w:type="paragraph" w:customStyle="1" w:styleId="MarginEdition">
    <w:name w:val="Margin Edition"/>
    <w:basedOn w:val="MarginNote"/>
    <w:rsid w:val="00FB56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682"/>
    <w:rPr>
      <w:sz w:val="2"/>
      <w:szCs w:val="2"/>
    </w:rPr>
  </w:style>
  <w:style w:type="character" w:customStyle="1" w:styleId="Small">
    <w:name w:val="Small"/>
    <w:basedOn w:val="DefaultParagraphFont"/>
    <w:rsid w:val="00FB5682"/>
    <w:rPr>
      <w:sz w:val="16"/>
    </w:rPr>
  </w:style>
  <w:style w:type="paragraph" w:customStyle="1" w:styleId="WideTable">
    <w:name w:val="Wide Table"/>
    <w:basedOn w:val="Normal"/>
    <w:rsid w:val="00FB56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682"/>
  </w:style>
  <w:style w:type="paragraph" w:styleId="Quote">
    <w:name w:val="Quote"/>
    <w:basedOn w:val="Heading1"/>
    <w:link w:val="QuoteChar"/>
    <w:qFormat/>
    <w:rsid w:val="00FB56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6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682"/>
    <w:pPr>
      <w:pageBreakBefore/>
    </w:pPr>
  </w:style>
  <w:style w:type="paragraph" w:customStyle="1" w:styleId="Border">
    <w:name w:val="Border"/>
    <w:basedOn w:val="Normal"/>
    <w:qFormat/>
    <w:rsid w:val="00FB56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6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6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6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6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6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6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6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6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682"/>
    <w:rPr>
      <w:u w:val="single"/>
    </w:rPr>
  </w:style>
  <w:style w:type="character" w:customStyle="1" w:styleId="BoldandItalics">
    <w:name w:val="Bold and Italics"/>
    <w:qFormat/>
    <w:rsid w:val="00FB5682"/>
    <w:rPr>
      <w:b/>
      <w:i/>
      <w:u w:val="none"/>
    </w:rPr>
  </w:style>
  <w:style w:type="paragraph" w:styleId="BalloonText">
    <w:name w:val="Balloon Text"/>
    <w:basedOn w:val="Normal"/>
    <w:link w:val="BalloonTextChar"/>
    <w:rsid w:val="00FB56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6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6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6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6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6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682"/>
    <w:pPr>
      <w:spacing w:before="0" w:after="0"/>
    </w:pPr>
  </w:style>
  <w:style w:type="paragraph" w:customStyle="1" w:styleId="BodyTextBold">
    <w:name w:val="Body Text Bold"/>
    <w:basedOn w:val="BodyText"/>
    <w:qFormat/>
    <w:rsid w:val="00FB5682"/>
    <w:rPr>
      <w:b/>
    </w:rPr>
  </w:style>
  <w:style w:type="character" w:styleId="Hyperlink">
    <w:name w:val="Hyperlink"/>
    <w:basedOn w:val="DefaultParagraphFont"/>
    <w:uiPriority w:val="99"/>
    <w:unhideWhenUsed/>
    <w:rsid w:val="00B27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4460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FBPOPR2028 Operate a mixing or blending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