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2FB" w:rsidP="00CA22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FBPOPR2027 Dispense non-bulk ingredients</w:t>
      </w:r>
      <w:r>
        <w:fldChar w:fldCharType="end"/>
      </w:r>
    </w:p>
    <w:p w:rsidR="00CA22FB" w:rsidP="00CA22FB">
      <w:pPr>
        <w:pStyle w:val="Version"/>
        <w:sectPr w:rsidSect="007F1B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B2B" w:rsidP="007F1B2B">
      <w:pPr>
        <w:pStyle w:val="SuperHeading"/>
      </w:pPr>
      <w:r w:rsidRPr="007F1B2B">
        <w:t>FBPOPR2027 Dispense non-bulk ingredients</w:t>
      </w:r>
    </w:p>
    <w:p w:rsidR="00000000" w:rsidRPr="007F1B2B" w:rsidP="007F1B2B">
      <w:pPr>
        <w:pStyle w:val="Heading1"/>
      </w:pPr>
      <w:bookmarkStart w:id="1" w:name="O_971914"/>
      <w:bookmarkEnd w:id="1"/>
      <w:r w:rsidRPr="007F1B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B" w:rsidP="007F1B2B">
            <w:pPr>
              <w:pStyle w:val="BodyText"/>
            </w:pPr>
            <w:r w:rsidRPr="007F1B2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rPr>
                <w:rStyle w:val="SpecialBold"/>
              </w:rPr>
              <w:t>Comments</w:t>
            </w:r>
          </w:p>
        </w:tc>
      </w:tr>
      <w:tr w:rsidTr="007F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B" w:rsidP="007F1B2B">
            <w:pPr>
              <w:pStyle w:val="BodyText"/>
            </w:pPr>
            <w:r w:rsidRPr="007F1B2B">
              <w:t>This version released with FBP Food, Beverage and Pharmaceutical Training Package Version 1.0</w:t>
            </w:r>
          </w:p>
        </w:tc>
      </w:tr>
    </w:tbl>
    <w:p w:rsidR="00000000" w:rsidRPr="007F1B2B" w:rsidP="007F1B2B">
      <w:pPr>
        <w:pStyle w:val="BodyText"/>
      </w:pPr>
    </w:p>
    <w:p w:rsidR="00000000" w:rsidRPr="007F1B2B" w:rsidP="007F1B2B">
      <w:pPr>
        <w:pStyle w:val="AllowPageBreak"/>
      </w:pPr>
    </w:p>
    <w:p w:rsidR="00000000" w:rsidRPr="007F1B2B" w:rsidP="007F1B2B">
      <w:pPr>
        <w:pStyle w:val="Heading1"/>
      </w:pPr>
      <w:bookmarkStart w:id="2" w:name="O_971915"/>
      <w:bookmarkEnd w:id="2"/>
      <w:r w:rsidRPr="007F1B2B">
        <w:t>Application</w:t>
      </w:r>
    </w:p>
    <w:p w:rsidR="00000000" w:rsidRPr="007F1B2B" w:rsidP="00CA22FB">
      <w:pPr>
        <w:pStyle w:val="BodyText"/>
      </w:pPr>
      <w:r w:rsidRPr="007F1B2B">
        <w:t>This unit of competency describes the skills and knowledge required to weigh, meas</w:t>
      </w:r>
      <w:r w:rsidRPr="007F1B2B">
        <w:t>ure and label non-bulk ingredients to meet production requirements.</w:t>
      </w:r>
    </w:p>
    <w:p w:rsidR="00000000" w:rsidRPr="007F1B2B" w:rsidP="00CA22FB">
      <w:pPr>
        <w:pStyle w:val="BodyText"/>
      </w:pPr>
      <w:r w:rsidRPr="007F1B2B">
        <w:t>This unit applies to individuals who work under general supervision and exercise limited autonomy in a production environment within the food processing industry. It typically applies to t</w:t>
      </w:r>
      <w:r w:rsidRPr="007F1B2B">
        <w:t>he production worker responsible for the dispensing of ingredients in order to support production operations. Ingredients may be highly concentrated materials, including colours, flavours, buffered acids and preservatives.</w:t>
      </w:r>
    </w:p>
    <w:p w:rsidR="00000000" w:rsidRPr="007F1B2B" w:rsidP="00CA22FB">
      <w:pPr>
        <w:pStyle w:val="BodyText"/>
      </w:pPr>
      <w:r w:rsidRPr="007F1B2B">
        <w:t>All work must be carried out to c</w:t>
      </w:r>
      <w:r w:rsidRPr="007F1B2B">
        <w:t>omply with workplace procedures, in accordance with State/Territory work health and safety, and food safety regulations, legislation and standards that apply to the workplace.</w:t>
      </w:r>
    </w:p>
    <w:p w:rsidR="00000000" w:rsidRPr="007F1B2B" w:rsidP="00CA22FB">
      <w:pPr>
        <w:pStyle w:val="BodyText"/>
      </w:pPr>
      <w:r w:rsidRPr="007F1B2B">
        <w:t>No occupational licensing, legislative or certification requirements apply to th</w:t>
      </w:r>
      <w:r w:rsidRPr="007F1B2B">
        <w:t>is unit at the time of publication.</w:t>
      </w:r>
    </w:p>
    <w:p w:rsidR="00000000" w:rsidRPr="007F1B2B" w:rsidP="007F1B2B">
      <w:pPr>
        <w:pStyle w:val="Heading1"/>
      </w:pPr>
      <w:bookmarkStart w:id="3" w:name="O_971916"/>
      <w:bookmarkEnd w:id="3"/>
      <w:r w:rsidRPr="007F1B2B">
        <w:t>Pre-requisite Unit</w:t>
      </w:r>
    </w:p>
    <w:p w:rsidR="00000000" w:rsidRPr="007F1B2B" w:rsidP="00CA22FB">
      <w:pPr>
        <w:pStyle w:val="BodyText"/>
      </w:pPr>
      <w:r w:rsidRPr="007F1B2B">
        <w:t>Nil</w:t>
      </w:r>
    </w:p>
    <w:p w:rsidR="00000000" w:rsidRPr="007F1B2B" w:rsidP="007F1B2B">
      <w:pPr>
        <w:pStyle w:val="Heading1"/>
      </w:pPr>
      <w:bookmarkStart w:id="4" w:name="O_971918"/>
      <w:bookmarkEnd w:id="4"/>
      <w:r w:rsidRPr="007F1B2B">
        <w:t>Unit Sector</w:t>
      </w:r>
    </w:p>
    <w:p w:rsidR="00000000" w:rsidRPr="007F1B2B" w:rsidP="00CA22FB">
      <w:pPr>
        <w:pStyle w:val="BodyText"/>
      </w:pPr>
      <w:r w:rsidRPr="007F1B2B">
        <w:t>Operational (OPR)</w:t>
      </w:r>
    </w:p>
    <w:p w:rsidR="00000000" w:rsidRPr="007F1B2B" w:rsidP="007F1B2B">
      <w:pPr>
        <w:pStyle w:val="Heading1"/>
      </w:pPr>
      <w:bookmarkStart w:id="5" w:name="O_971919"/>
      <w:bookmarkEnd w:id="5"/>
      <w:r w:rsidRPr="007F1B2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2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B" w:rsidP="007F1B2B">
            <w:pPr>
              <w:pStyle w:val="BodyText"/>
            </w:pPr>
            <w:r w:rsidRPr="007F1B2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rPr>
                <w:rStyle w:val="SpecialBold"/>
              </w:rPr>
              <w:t>Performance Criteria</w:t>
            </w:r>
          </w:p>
        </w:tc>
      </w:tr>
      <w:tr w:rsidTr="00CA2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B" w:rsidP="007F1B2B">
            <w:pPr>
              <w:pStyle w:val="BodyText"/>
            </w:pPr>
            <w:r w:rsidRPr="007F1B2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2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B" w:rsidP="007F1B2B">
            <w:pPr>
              <w:pStyle w:val="BodyText"/>
            </w:pPr>
            <w:r w:rsidRPr="007F1B2B">
              <w:t>1.1 Read or listen to work instructions from supervisor and clarify where needed</w:t>
            </w:r>
          </w:p>
          <w:p w:rsidR="00000000" w:rsidRPr="007F1B2B" w:rsidP="007F1B2B">
            <w:pPr>
              <w:pStyle w:val="BodyText"/>
            </w:pPr>
            <w:r w:rsidRPr="007F1B2B">
              <w:t>1.2 Identify work health and safety haz</w:t>
            </w:r>
            <w:r w:rsidRPr="007F1B2B">
              <w:t>ards and tell supervisor</w:t>
            </w:r>
          </w:p>
          <w:p w:rsidR="00000000" w:rsidRPr="007F1B2B" w:rsidP="007F1B2B">
            <w:pPr>
              <w:pStyle w:val="BodyText"/>
            </w:pPr>
            <w:r w:rsidRPr="007F1B2B">
              <w:t>1.3 Wear appropriate personal protective equipment and ensure correct fit according to work health and safety requirements</w:t>
            </w:r>
          </w:p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t>1.4 Inspect materials to confirm type, quality clearance, and quantities, and identify any obvious contamina</w:t>
            </w:r>
            <w:r w:rsidRPr="007F1B2B">
              <w:t>tion or non-compliance</w:t>
            </w:r>
          </w:p>
        </w:tc>
      </w:tr>
      <w:tr w:rsidTr="00CA2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t>2. Prepare to dispense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B" w:rsidP="007F1B2B">
            <w:pPr>
              <w:pStyle w:val="BodyText"/>
            </w:pPr>
            <w:r w:rsidRPr="007F1B2B">
              <w:t>2.1 Select measuring and weighing equipment appropriate to dispensing requirements and confirm readiness for use</w:t>
            </w:r>
          </w:p>
          <w:p w:rsidR="00000000" w:rsidRPr="007F1B2B" w:rsidP="007F1B2B">
            <w:pPr>
              <w:pStyle w:val="BodyText"/>
            </w:pPr>
            <w:r w:rsidRPr="007F1B2B">
              <w:t>2.2 Confirm that containers, bags and labels are available according to job specifications</w:t>
            </w:r>
          </w:p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t>2.3 Carry out pre-start checks according to operator instructions</w:t>
            </w:r>
          </w:p>
        </w:tc>
      </w:tr>
      <w:tr w:rsidTr="00CA2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t>3. Measure and/or weigh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B" w:rsidP="007F1B2B">
            <w:pPr>
              <w:pStyle w:val="BodyText"/>
            </w:pPr>
            <w:r w:rsidRPr="007F1B2B">
              <w:t>3.1 Weigh or measure non-bulk ingredients and additives accord</w:t>
            </w:r>
            <w:r w:rsidRPr="007F1B2B">
              <w:t>ing to food safety and job specifications</w:t>
            </w:r>
          </w:p>
          <w:p w:rsidR="00000000" w:rsidRPr="007F1B2B" w:rsidP="007F1B2B">
            <w:pPr>
              <w:pStyle w:val="BodyText"/>
            </w:pPr>
            <w:r w:rsidRPr="007F1B2B">
              <w:t>3.2 Label dispensed ingredients according to workplace procedures</w:t>
            </w:r>
          </w:p>
          <w:p w:rsidR="00000000" w:rsidRPr="007F1B2B" w:rsidP="007F1B2B">
            <w:pPr>
              <w:pStyle w:val="BodyText"/>
            </w:pPr>
            <w:r w:rsidRPr="007F1B2B">
              <w:t>3.3 Monitor the accuracy of measuring and dispensing equipment to identify variation in operating conditions</w:t>
            </w:r>
          </w:p>
          <w:p w:rsidR="00000000" w:rsidRPr="007F1B2B" w:rsidP="007F1B2B">
            <w:pPr>
              <w:pStyle w:val="BodyText"/>
            </w:pPr>
            <w:r w:rsidRPr="007F1B2B">
              <w:t>3.4 Report variations in equipment oper</w:t>
            </w:r>
            <w:r w:rsidRPr="007F1B2B">
              <w:t>ation</w:t>
            </w:r>
          </w:p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t>3.5 Follow and apply workplace cleaning and environmental procedures</w:t>
            </w:r>
          </w:p>
        </w:tc>
      </w:tr>
      <w:tr w:rsidTr="00CA2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t>4. Complete the dispensing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B" w:rsidP="007F1B2B">
            <w:pPr>
              <w:pStyle w:val="BodyText"/>
            </w:pPr>
            <w:r w:rsidRPr="007F1B2B">
              <w:t>4.1 Clean dispensing equipment according to workplace procedures</w:t>
            </w:r>
          </w:p>
          <w:p w:rsidR="00000000" w:rsidRPr="007F1B2B" w:rsidP="007F1B2B">
            <w:pPr>
              <w:pStyle w:val="BodyText"/>
            </w:pPr>
            <w:r w:rsidRPr="007F1B2B">
              <w:t>4.2 Identify and report unacceptable equipment and utensil condition</w:t>
            </w:r>
          </w:p>
          <w:p w:rsidR="00000000" w:rsidRPr="007F1B2B" w:rsidP="007F1B2B">
            <w:pPr>
              <w:pStyle w:val="BodyText"/>
            </w:pPr>
            <w:r w:rsidRPr="007F1B2B">
              <w:t>4.3 Identif</w:t>
            </w:r>
            <w:r w:rsidRPr="007F1B2B">
              <w:t>y and report maintenance requirements</w:t>
            </w:r>
          </w:p>
        </w:tc>
      </w:tr>
    </w:tbl>
    <w:p w:rsidR="00000000" w:rsidRPr="007F1B2B" w:rsidP="007F1B2B">
      <w:pPr>
        <w:pStyle w:val="BodyText"/>
      </w:pPr>
    </w:p>
    <w:p w:rsidR="00000000" w:rsidRPr="007F1B2B" w:rsidP="007F1B2B">
      <w:pPr>
        <w:pStyle w:val="AllowPageBreak"/>
      </w:pPr>
    </w:p>
    <w:p w:rsidR="00000000" w:rsidRPr="007F1B2B" w:rsidP="007F1B2B">
      <w:pPr>
        <w:pStyle w:val="Heading1"/>
      </w:pPr>
      <w:bookmarkStart w:id="6" w:name="O_971920"/>
      <w:bookmarkEnd w:id="6"/>
      <w:r w:rsidRPr="007F1B2B">
        <w:t>Foundation Skills</w:t>
      </w:r>
    </w:p>
    <w:p w:rsidR="00000000" w:rsidRPr="00CA22FB" w:rsidP="00CA22FB">
      <w:pPr>
        <w:pStyle w:val="BodyText"/>
        <w:rPr>
          <w:i/>
        </w:rPr>
      </w:pPr>
      <w:r w:rsidRPr="00CA22FB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CA22FB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B" w:rsidP="007F1B2B">
            <w:pPr>
              <w:pStyle w:val="BodyText"/>
            </w:pPr>
            <w:r w:rsidRPr="007F1B2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rPr>
                <w:rStyle w:val="SpecialBold"/>
              </w:rPr>
              <w:t>Description</w:t>
            </w:r>
          </w:p>
        </w:tc>
      </w:tr>
      <w:tr w:rsidTr="007F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B" w:rsidP="007F1B2B">
            <w:pPr>
              <w:pStyle w:val="ListBullet"/>
            </w:pPr>
            <w:r w:rsidRPr="007F1B2B">
              <w:t>Interpret workplace and standard operating procedures relevant to job role</w:t>
            </w:r>
          </w:p>
          <w:p w:rsidR="00000000" w:rsidP="007F1B2B">
            <w:pPr>
              <w:pStyle w:val="ListBullet"/>
              <w:rPr>
                <w:lang w:val="en-NZ"/>
              </w:rPr>
            </w:pPr>
            <w:r w:rsidRPr="007F1B2B">
              <w:t>Interpret production requirements</w:t>
            </w:r>
          </w:p>
        </w:tc>
      </w:tr>
      <w:tr w:rsidTr="007F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ListBullet"/>
              <w:rPr>
                <w:lang w:val="en-NZ"/>
              </w:rPr>
            </w:pPr>
            <w:r w:rsidRPr="007F1B2B">
              <w:t>Record operating, routine maintenance and shutdown information on paper-based and electronic media</w:t>
            </w:r>
          </w:p>
        </w:tc>
      </w:tr>
      <w:tr w:rsidTr="007F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B" w:rsidP="007F1B2B">
            <w:pPr>
              <w:pStyle w:val="ListBullet"/>
            </w:pPr>
            <w:r w:rsidRPr="007F1B2B">
              <w:t>Monitor and interpret production and process control indicators and data</w:t>
            </w:r>
          </w:p>
          <w:p w:rsidR="00000000" w:rsidP="007F1B2B">
            <w:pPr>
              <w:pStyle w:val="ListBullet"/>
              <w:rPr>
                <w:lang w:val="en-NZ"/>
              </w:rPr>
            </w:pPr>
            <w:r w:rsidRPr="007F1B2B">
              <w:t>Monitor supply and flow of materials to and from the process</w:t>
            </w:r>
          </w:p>
        </w:tc>
      </w:tr>
      <w:tr w:rsidTr="007F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t>Navigate th</w:t>
            </w:r>
            <w:r w:rsidRPr="007F1B2B">
              <w:t>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B" w:rsidP="007F1B2B">
            <w:pPr>
              <w:pStyle w:val="ListBullet"/>
            </w:pPr>
            <w:r w:rsidRPr="007F1B2B">
              <w:t>Apply workplace procedures to own role and responsibilities</w:t>
            </w:r>
          </w:p>
          <w:p w:rsidR="00000000" w:rsidRPr="007F1B2B" w:rsidP="007F1B2B">
            <w:pPr>
              <w:pStyle w:val="ListBullet"/>
            </w:pPr>
            <w:r w:rsidRPr="007F1B2B">
              <w:t>Identify skills, knowledge and experience required for performing own role in the workplace</w:t>
            </w:r>
          </w:p>
          <w:p w:rsidR="00000000" w:rsidP="007F1B2B">
            <w:pPr>
              <w:pStyle w:val="ListBullet"/>
              <w:rPr>
                <w:lang w:val="en-NZ"/>
              </w:rPr>
            </w:pPr>
            <w:r w:rsidRPr="007F1B2B">
              <w:t>Ask questions to clarify understanding or seek further information</w:t>
            </w:r>
          </w:p>
        </w:tc>
      </w:tr>
      <w:tr w:rsidTr="007F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t>Interact with other</w:t>
            </w:r>
            <w:r w:rsidRPr="007F1B2B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B" w:rsidP="007F1B2B">
            <w:pPr>
              <w:pStyle w:val="ListBullet"/>
            </w:pPr>
            <w:r w:rsidRPr="007F1B2B">
              <w:t>Communicate and report operational and safety information to relevant personnel</w:t>
            </w:r>
          </w:p>
          <w:p w:rsidR="00000000" w:rsidP="007F1B2B">
            <w:pPr>
              <w:pStyle w:val="ListBullet"/>
              <w:rPr>
                <w:lang w:val="en-NZ"/>
              </w:rPr>
            </w:pPr>
            <w:r w:rsidRPr="007F1B2B">
              <w:t>Use modes of communication suitable to purpose to confirm understanding when conducting operational start-up and shutdown procedures</w:t>
            </w:r>
          </w:p>
        </w:tc>
      </w:tr>
      <w:tr w:rsidTr="007F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B" w:rsidP="007F1B2B">
            <w:pPr>
              <w:pStyle w:val="ListBullet"/>
            </w:pPr>
            <w:r w:rsidRPr="007F1B2B">
              <w:t>Access and interpret process control panels and system</w:t>
            </w:r>
          </w:p>
          <w:p w:rsidR="00000000" w:rsidRPr="007F1B2B" w:rsidP="007F1B2B">
            <w:pPr>
              <w:pStyle w:val="ListBullet"/>
            </w:pPr>
            <w:r w:rsidRPr="007F1B2B">
              <w:t>Maintain a clean and hazard-free work area</w:t>
            </w:r>
          </w:p>
          <w:p w:rsidR="00000000" w:rsidRPr="007F1B2B" w:rsidP="007F1B2B">
            <w:pPr>
              <w:pStyle w:val="ListBullet"/>
            </w:pPr>
            <w:r w:rsidRPr="007F1B2B">
              <w:t>Identify out-of-specification standards and maintain quality specifications</w:t>
            </w:r>
          </w:p>
          <w:p w:rsidR="00000000" w:rsidRPr="007F1B2B" w:rsidP="007F1B2B">
            <w:pPr>
              <w:pStyle w:val="ListBullet"/>
            </w:pPr>
            <w:r w:rsidRPr="007F1B2B">
              <w:t>Confirm equipment status and condition</w:t>
            </w:r>
          </w:p>
          <w:p w:rsidR="00000000" w:rsidRPr="007F1B2B" w:rsidP="007F1B2B">
            <w:pPr>
              <w:pStyle w:val="ListBullet"/>
            </w:pPr>
            <w:r w:rsidRPr="007F1B2B">
              <w:t>Interpret process and equipment information</w:t>
            </w:r>
            <w:r w:rsidRPr="007F1B2B">
              <w:t xml:space="preserve"> to monitor process and respond to abnormal performance and variations</w:t>
            </w:r>
          </w:p>
        </w:tc>
      </w:tr>
    </w:tbl>
    <w:p w:rsidR="00000000" w:rsidRPr="007F1B2B" w:rsidP="007F1B2B">
      <w:pPr>
        <w:pStyle w:val="BodyText"/>
      </w:pPr>
    </w:p>
    <w:p w:rsidR="00000000" w:rsidRPr="007F1B2B" w:rsidP="007F1B2B">
      <w:pPr>
        <w:pStyle w:val="AllowPageBreak"/>
      </w:pPr>
    </w:p>
    <w:p w:rsidR="00000000" w:rsidRPr="007F1B2B" w:rsidP="007F1B2B">
      <w:pPr>
        <w:pStyle w:val="Heading1"/>
      </w:pPr>
      <w:bookmarkStart w:id="7" w:name="O_971922"/>
      <w:bookmarkEnd w:id="7"/>
      <w:r w:rsidRPr="007F1B2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F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B" w:rsidP="007F1B2B">
            <w:pPr>
              <w:pStyle w:val="BodyText"/>
            </w:pPr>
            <w:r w:rsidRPr="007F1B2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B" w:rsidP="007F1B2B">
            <w:pPr>
              <w:pStyle w:val="BodyText"/>
            </w:pPr>
            <w:r w:rsidRPr="007F1B2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B" w:rsidP="007F1B2B">
            <w:pPr>
              <w:pStyle w:val="BodyText"/>
            </w:pPr>
            <w:r w:rsidRPr="007F1B2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rPr>
                <w:rStyle w:val="SpecialBold"/>
              </w:rPr>
              <w:t>Equivalence status</w:t>
            </w:r>
          </w:p>
        </w:tc>
      </w:tr>
      <w:tr w:rsidTr="007F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t>FBPOPR2027 Dispense non-bulk ingredients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t>FDFOP2027A Dispense non-bulk ingredients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B">
            <w:pPr>
              <w:pStyle w:val="BodyText"/>
              <w:rPr>
                <w:lang w:val="en-NZ"/>
              </w:rPr>
            </w:pPr>
            <w:r w:rsidRPr="007F1B2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B" w:rsidP="007F1B2B">
            <w:pPr>
              <w:pStyle w:val="BodyText"/>
            </w:pPr>
            <w:r w:rsidRPr="007F1B2B">
              <w:t>Equivalent unit</w:t>
            </w:r>
          </w:p>
        </w:tc>
      </w:tr>
    </w:tbl>
    <w:p w:rsidR="00000000" w:rsidRPr="007F1B2B" w:rsidP="007F1B2B">
      <w:pPr>
        <w:pStyle w:val="BodyText"/>
      </w:pPr>
    </w:p>
    <w:p w:rsidR="00000000" w:rsidRPr="007F1B2B" w:rsidP="007F1B2B">
      <w:pPr>
        <w:pStyle w:val="AllowPageBreak"/>
      </w:pPr>
    </w:p>
    <w:p w:rsidR="00000000" w:rsidRPr="007F1B2B" w:rsidP="007F1B2B">
      <w:pPr>
        <w:pStyle w:val="Heading1"/>
      </w:pPr>
      <w:bookmarkStart w:id="8" w:name="O_971929"/>
      <w:bookmarkEnd w:id="8"/>
      <w:r w:rsidRPr="007F1B2B">
        <w:t>Links</w:t>
      </w:r>
    </w:p>
    <w:p w:rsidR="00000000" w:rsidRPr="007F1B2B" w:rsidP="00CA22FB">
      <w:pPr>
        <w:pStyle w:val="BodyText"/>
      </w:pPr>
      <w:r w:rsidRPr="007F1B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04EC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F1B2B" w:rsidP="007F1B2B"/>
    <w:sectPr w:rsidSect="007F1B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2B" w:rsidRPr="00CA22FB" w:rsidP="00CA22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2FB" w:rsidP="007F1B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22FB" w:rsidP="007F1B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A22FB" w:rsidP="007F1B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2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B2B" w:rsidRPr="00CA22FB" w:rsidP="00CA22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2FB" w:rsidRPr="002D2AF8" w:rsidP="007F1B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FBPOPR2027 Dispense non-bulk ingredients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A22FB" w:rsidP="007F1B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64D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36BB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B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B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B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B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B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B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B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B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B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B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B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B2B"/>
  </w:style>
  <w:style w:type="character" w:customStyle="1" w:styleId="Heading1Char">
    <w:name w:val="Heading 1 Char"/>
    <w:basedOn w:val="DefaultParagraphFont"/>
    <w:link w:val="Heading1"/>
    <w:rsid w:val="007F1B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B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B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1B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1B2B"/>
    <w:rPr>
      <w:b/>
      <w:spacing w:val="0"/>
    </w:rPr>
  </w:style>
  <w:style w:type="character" w:styleId="Emphasis">
    <w:name w:val="Emphasis"/>
    <w:basedOn w:val="DefaultParagraphFont"/>
    <w:qFormat/>
    <w:rsid w:val="007F1B2B"/>
    <w:rPr>
      <w:i/>
    </w:rPr>
  </w:style>
  <w:style w:type="paragraph" w:customStyle="1" w:styleId="SuperHeading">
    <w:name w:val="SuperHeading"/>
    <w:basedOn w:val="Normal"/>
    <w:rsid w:val="007F1B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B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1B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B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B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B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B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B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B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B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B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B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B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B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B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B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1B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1B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1B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B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B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1B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1B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B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B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B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B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B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B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B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B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1B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B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B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B2B"/>
  </w:style>
  <w:style w:type="paragraph" w:styleId="TableofFigures">
    <w:name w:val="table of figures"/>
    <w:basedOn w:val="Normal"/>
    <w:next w:val="Normal"/>
    <w:semiHidden/>
    <w:rsid w:val="007F1B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B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1B2B"/>
    <w:rPr>
      <w:rFonts w:ascii="Wingdings" w:hAnsi="Wingdings"/>
    </w:rPr>
  </w:style>
  <w:style w:type="paragraph" w:customStyle="1" w:styleId="TableHeading">
    <w:name w:val="Table Heading"/>
    <w:basedOn w:val="HeadingBase"/>
    <w:rsid w:val="007F1B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B2B"/>
    <w:rPr>
      <w:color w:val="0033CC"/>
      <w:u w:val="none"/>
    </w:rPr>
  </w:style>
  <w:style w:type="paragraph" w:customStyle="1" w:styleId="BodyTextRight">
    <w:name w:val="Body Text Right"/>
    <w:basedOn w:val="BodyText"/>
    <w:rsid w:val="007F1B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B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B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B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B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B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B2B"/>
    <w:rPr>
      <w:sz w:val="32"/>
    </w:rPr>
  </w:style>
  <w:style w:type="paragraph" w:customStyle="1" w:styleId="HeadingProcedure">
    <w:name w:val="Heading Procedure"/>
    <w:basedOn w:val="HeadingBase"/>
    <w:next w:val="Normal"/>
    <w:rsid w:val="007F1B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B2B"/>
    <w:pPr>
      <w:spacing w:before="60" w:after="60"/>
    </w:pPr>
  </w:style>
  <w:style w:type="paragraph" w:styleId="ListContinue">
    <w:name w:val="List Continue"/>
    <w:basedOn w:val="List"/>
    <w:rsid w:val="007F1B2B"/>
    <w:pPr>
      <w:ind w:firstLine="0"/>
    </w:pPr>
  </w:style>
  <w:style w:type="paragraph" w:customStyle="1" w:styleId="ListNote">
    <w:name w:val="List Note"/>
    <w:basedOn w:val="List"/>
    <w:rsid w:val="007F1B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B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B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B2B"/>
    <w:rPr>
      <w:rFonts w:ascii="Courier New" w:hAnsi="Courier New"/>
    </w:rPr>
  </w:style>
  <w:style w:type="paragraph" w:customStyle="1" w:styleId="NoteBullet">
    <w:name w:val="Note Bullet"/>
    <w:basedOn w:val="Note"/>
    <w:rsid w:val="007F1B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B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B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B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B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1B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B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B2B"/>
    <w:rPr>
      <w:b/>
      <w:smallCaps/>
    </w:rPr>
  </w:style>
  <w:style w:type="paragraph" w:customStyle="1" w:styleId="TableListNumber">
    <w:name w:val="Table List Number"/>
    <w:basedOn w:val="ListNumber"/>
    <w:rsid w:val="007F1B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B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B2B"/>
    <w:pPr>
      <w:numPr>
        <w:numId w:val="8"/>
      </w:numPr>
    </w:pPr>
  </w:style>
  <w:style w:type="paragraph" w:customStyle="1" w:styleId="ListAlpha2">
    <w:name w:val="List Alpha 2"/>
    <w:basedOn w:val="List2"/>
    <w:rsid w:val="007F1B2B"/>
    <w:pPr>
      <w:numPr>
        <w:numId w:val="7"/>
      </w:numPr>
    </w:pPr>
  </w:style>
  <w:style w:type="paragraph" w:styleId="List2">
    <w:name w:val="List 2"/>
    <w:basedOn w:val="BodyText"/>
    <w:rsid w:val="007F1B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B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B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B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B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B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1B2B"/>
    <w:pPr>
      <w:numPr>
        <w:numId w:val="3"/>
      </w:numPr>
    </w:pPr>
  </w:style>
  <w:style w:type="paragraph" w:styleId="ListContinue2">
    <w:name w:val="List Continue 2"/>
    <w:basedOn w:val="List2"/>
    <w:rsid w:val="007F1B2B"/>
    <w:pPr>
      <w:ind w:firstLine="0"/>
    </w:pPr>
  </w:style>
  <w:style w:type="paragraph" w:styleId="ListContinue3">
    <w:name w:val="List Continue 3"/>
    <w:basedOn w:val="List3"/>
    <w:rsid w:val="007F1B2B"/>
    <w:pPr>
      <w:ind w:left="1021" w:firstLine="0"/>
    </w:pPr>
  </w:style>
  <w:style w:type="paragraph" w:styleId="ListContinue4">
    <w:name w:val="List Continue 4"/>
    <w:basedOn w:val="List4"/>
    <w:rsid w:val="007F1B2B"/>
    <w:pPr>
      <w:ind w:firstLine="0"/>
    </w:pPr>
  </w:style>
  <w:style w:type="paragraph" w:styleId="ListContinue5">
    <w:name w:val="List Continue 5"/>
    <w:basedOn w:val="List5"/>
    <w:rsid w:val="007F1B2B"/>
    <w:pPr>
      <w:ind w:firstLine="0"/>
    </w:pPr>
  </w:style>
  <w:style w:type="paragraph" w:styleId="ListNumber3">
    <w:name w:val="List Number 3"/>
    <w:basedOn w:val="List3"/>
    <w:rsid w:val="007F1B2B"/>
    <w:pPr>
      <w:numPr>
        <w:numId w:val="4"/>
      </w:numPr>
    </w:pPr>
  </w:style>
  <w:style w:type="paragraph" w:styleId="ListNumber4">
    <w:name w:val="List Number 4"/>
    <w:basedOn w:val="List4"/>
    <w:rsid w:val="007F1B2B"/>
    <w:pPr>
      <w:numPr>
        <w:numId w:val="5"/>
      </w:numPr>
    </w:pPr>
  </w:style>
  <w:style w:type="paragraph" w:styleId="ListNumber5">
    <w:name w:val="List Number 5"/>
    <w:basedOn w:val="List5"/>
    <w:rsid w:val="007F1B2B"/>
    <w:pPr>
      <w:numPr>
        <w:numId w:val="6"/>
      </w:numPr>
    </w:pPr>
  </w:style>
  <w:style w:type="paragraph" w:styleId="BlockText">
    <w:name w:val="Block Text"/>
    <w:basedOn w:val="Normal"/>
    <w:rsid w:val="007F1B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B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B2B"/>
    <w:rPr>
      <w:sz w:val="16"/>
      <w:vertAlign w:val="superscript"/>
    </w:rPr>
  </w:style>
  <w:style w:type="character" w:customStyle="1" w:styleId="Symbols">
    <w:name w:val="Symbols"/>
    <w:basedOn w:val="DefaultParagraphFont"/>
    <w:rsid w:val="007F1B2B"/>
    <w:rPr>
      <w:rFonts w:ascii="Symbol" w:hAnsi="Symbol"/>
    </w:rPr>
  </w:style>
  <w:style w:type="character" w:customStyle="1" w:styleId="MenuOptions">
    <w:name w:val="Menu Options"/>
    <w:basedOn w:val="DefaultParagraphFont"/>
    <w:rsid w:val="007F1B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B2B"/>
    <w:rPr>
      <w:b/>
    </w:rPr>
  </w:style>
  <w:style w:type="character" w:customStyle="1" w:styleId="Underlined">
    <w:name w:val="Underlined"/>
    <w:basedOn w:val="DefaultParagraphFont"/>
    <w:rsid w:val="007F1B2B"/>
    <w:rPr>
      <w:u w:val="single"/>
    </w:rPr>
  </w:style>
  <w:style w:type="paragraph" w:customStyle="1" w:styleId="TableBodyTextRight">
    <w:name w:val="Table Body Text Right"/>
    <w:basedOn w:val="TableBodyText"/>
    <w:rsid w:val="007F1B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B2B"/>
    <w:rPr>
      <w:sz w:val="18"/>
    </w:rPr>
  </w:style>
  <w:style w:type="paragraph" w:customStyle="1" w:styleId="BodySmallRight">
    <w:name w:val="Body Small Right"/>
    <w:basedOn w:val="BodyTextRight"/>
    <w:rsid w:val="007F1B2B"/>
    <w:rPr>
      <w:sz w:val="18"/>
      <w:szCs w:val="18"/>
    </w:rPr>
  </w:style>
  <w:style w:type="paragraph" w:customStyle="1" w:styleId="MarginEdition">
    <w:name w:val="Margin Edition"/>
    <w:basedOn w:val="MarginNote"/>
    <w:rsid w:val="007F1B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B2B"/>
    <w:rPr>
      <w:sz w:val="2"/>
      <w:szCs w:val="2"/>
    </w:rPr>
  </w:style>
  <w:style w:type="character" w:customStyle="1" w:styleId="Small">
    <w:name w:val="Small"/>
    <w:basedOn w:val="DefaultParagraphFont"/>
    <w:rsid w:val="007F1B2B"/>
    <w:rPr>
      <w:sz w:val="16"/>
    </w:rPr>
  </w:style>
  <w:style w:type="paragraph" w:customStyle="1" w:styleId="WideTable">
    <w:name w:val="Wide Table"/>
    <w:basedOn w:val="Normal"/>
    <w:rsid w:val="007F1B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B2B"/>
  </w:style>
  <w:style w:type="paragraph" w:styleId="Quote">
    <w:name w:val="Quote"/>
    <w:basedOn w:val="Heading1"/>
    <w:link w:val="QuoteChar"/>
    <w:qFormat/>
    <w:rsid w:val="007F1B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B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B2B"/>
    <w:pPr>
      <w:pageBreakBefore/>
    </w:pPr>
  </w:style>
  <w:style w:type="paragraph" w:customStyle="1" w:styleId="Border">
    <w:name w:val="Border"/>
    <w:basedOn w:val="Normal"/>
    <w:qFormat/>
    <w:rsid w:val="007F1B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B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B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B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B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B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B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B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B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B2B"/>
    <w:rPr>
      <w:u w:val="single"/>
    </w:rPr>
  </w:style>
  <w:style w:type="character" w:customStyle="1" w:styleId="BoldandItalics">
    <w:name w:val="Bold and Italics"/>
    <w:qFormat/>
    <w:rsid w:val="007F1B2B"/>
    <w:rPr>
      <w:b/>
      <w:i/>
      <w:u w:val="none"/>
    </w:rPr>
  </w:style>
  <w:style w:type="paragraph" w:styleId="BalloonText">
    <w:name w:val="Balloon Text"/>
    <w:basedOn w:val="Normal"/>
    <w:link w:val="BalloonTextChar"/>
    <w:rsid w:val="007F1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B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B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B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B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B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B2B"/>
    <w:pPr>
      <w:spacing w:before="0" w:after="0"/>
    </w:pPr>
  </w:style>
  <w:style w:type="paragraph" w:customStyle="1" w:styleId="BodyTextBold">
    <w:name w:val="Body Text Bold"/>
    <w:basedOn w:val="BodyText"/>
    <w:qFormat/>
    <w:rsid w:val="007F1B2B"/>
    <w:rPr>
      <w:b/>
    </w:rPr>
  </w:style>
  <w:style w:type="character" w:styleId="Hyperlink">
    <w:name w:val="Hyperlink"/>
    <w:basedOn w:val="DefaultParagraphFont"/>
    <w:uiPriority w:val="99"/>
    <w:unhideWhenUsed/>
    <w:rsid w:val="00CA22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4189</Characters>
  <Application>Microsoft Office Word</Application>
  <DocSecurity>0</DocSecurity>
  <Lines>144</Lines>
  <Paragraphs>91</Paragraphs>
  <ScaleCrop>false</ScaleCrop>
  <Company>Author-it Software Corporation Ltd.</Company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FBPOPR2027 Dispense non-bulk ingredients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2025-02-21T07:22:00Z</dcterms:created>
  <dcterms:modified xsi:type="dcterms:W3CDTF">2025-02-21T07:22:00Z</dcterms:modified>
</cp:coreProperties>
</file>