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D74" w:rsidP="006B1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FBPOPR2019 Fill and close product in cans</w:t>
      </w:r>
      <w:r>
        <w:fldChar w:fldCharType="end"/>
      </w:r>
    </w:p>
    <w:p w:rsidR="006B1D74" w:rsidP="006B1D74">
      <w:pPr>
        <w:pStyle w:val="Version"/>
        <w:sectPr w:rsidSect="00F90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0EBE" w:rsidP="00F90EBE">
      <w:pPr>
        <w:pStyle w:val="SuperHeading"/>
      </w:pPr>
      <w:r w:rsidRPr="00F90EBE">
        <w:t>FBPOPR2019 Fill and close product in cans</w:t>
      </w:r>
    </w:p>
    <w:p w:rsidR="00000000" w:rsidRPr="00F90EBE" w:rsidP="00F90EBE">
      <w:pPr>
        <w:pStyle w:val="Heading1"/>
      </w:pPr>
      <w:bookmarkStart w:id="1" w:name="O_1184048"/>
      <w:bookmarkEnd w:id="1"/>
      <w:r w:rsidRPr="00F90E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Comments</w:t>
            </w:r>
          </w:p>
        </w:tc>
      </w:tr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This version released with FBP Food, Beverage and Pharmaceutical Training Package Version 6.0.</w:t>
            </w:r>
          </w:p>
        </w:tc>
      </w:tr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>This version released with FBP Food, Beverage and Pharmaceutical Training Package Version 1.0.</w:t>
            </w:r>
          </w:p>
        </w:tc>
      </w:tr>
    </w:tbl>
    <w:p w:rsidR="00000000" w:rsidRPr="00F90EBE" w:rsidP="00F90EBE">
      <w:pPr>
        <w:pStyle w:val="BodyText"/>
      </w:pPr>
    </w:p>
    <w:p w:rsidR="00000000" w:rsidRPr="00F90EBE" w:rsidP="00F90EBE">
      <w:pPr>
        <w:pStyle w:val="AllowPageBreak"/>
      </w:pPr>
    </w:p>
    <w:p w:rsidR="00000000" w:rsidRPr="00F90EBE" w:rsidP="00F90EBE">
      <w:pPr>
        <w:pStyle w:val="Heading1"/>
      </w:pPr>
      <w:bookmarkStart w:id="2" w:name="O_1184047"/>
      <w:bookmarkEnd w:id="2"/>
      <w:r w:rsidRPr="00F90EBE">
        <w:t>Application</w:t>
      </w:r>
    </w:p>
    <w:p w:rsidR="00000000" w:rsidRPr="00F90EBE" w:rsidP="006B1D74">
      <w:pPr>
        <w:pStyle w:val="BodyText"/>
      </w:pPr>
      <w:r w:rsidRPr="00F90EBE">
        <w:t>This unit of competency describes the skills and knowledge required to set up, operate, adjust and shut down a primary packaging process that fills product into cans and hermetically seals containers using a closer or seamer.</w:t>
      </w:r>
    </w:p>
    <w:p w:rsidR="00000000" w:rsidRPr="00F90EBE" w:rsidP="006B1D74">
      <w:pPr>
        <w:pStyle w:val="BodyText"/>
      </w:pPr>
      <w:r w:rsidRPr="00F90EBE">
        <w:t>Thi</w:t>
      </w:r>
      <w:r w:rsidRPr="00F90EBE">
        <w:t xml:space="preserve">s unit applies to individuals who work under general supervision and exercise limited autonomy in a food processing packing environment. It typically applies to the production worker responsible for applying basic operating principles to the operation and </w:t>
      </w:r>
      <w:r w:rsidRPr="00F90EBE">
        <w:t>monitoring of a filling and closing process and associated equipment.</w:t>
      </w:r>
    </w:p>
    <w:p w:rsidR="00000000" w:rsidRPr="00F90EBE" w:rsidP="006B1D74">
      <w:pPr>
        <w:pStyle w:val="BodyText"/>
      </w:pPr>
      <w:r w:rsidRPr="00F90EBE">
        <w:t>All work must be carried out to comply with workplace procedures according to state/territory health and safety, environmental and food safety regulations, legislation and standards that</w:t>
      </w:r>
      <w:r w:rsidRPr="00F90EBE">
        <w:t xml:space="preserve"> apply to the workplace.</w:t>
      </w:r>
    </w:p>
    <w:p w:rsidR="00000000" w:rsidRPr="00F90EBE" w:rsidP="006B1D74">
      <w:pPr>
        <w:pStyle w:val="BodyText"/>
      </w:pPr>
      <w:r w:rsidRPr="00F90EBE">
        <w:t>No licensing, legislative or certification requirements apply to this unit at the time of publication.</w:t>
      </w:r>
    </w:p>
    <w:p w:rsidR="00000000" w:rsidRPr="00F90EBE" w:rsidP="00F90EBE">
      <w:pPr>
        <w:pStyle w:val="Heading1"/>
      </w:pPr>
      <w:bookmarkStart w:id="3" w:name="O_1184046"/>
      <w:bookmarkEnd w:id="3"/>
      <w:r w:rsidRPr="00F90EBE">
        <w:t>Pre-requisite Unit</w:t>
      </w:r>
    </w:p>
    <w:p w:rsidR="00000000" w:rsidRPr="00F90EBE" w:rsidP="006B1D74">
      <w:pPr>
        <w:pStyle w:val="BodyText"/>
      </w:pPr>
      <w:r w:rsidRPr="00F90EBE">
        <w:t>Nil</w:t>
      </w:r>
    </w:p>
    <w:p w:rsidR="00000000" w:rsidRPr="00F90EBE" w:rsidP="00F90EBE">
      <w:pPr>
        <w:pStyle w:val="Heading1"/>
      </w:pPr>
      <w:bookmarkStart w:id="4" w:name="O_1184045"/>
      <w:bookmarkEnd w:id="4"/>
      <w:r w:rsidRPr="00F90EBE">
        <w:t>Unit Sector</w:t>
      </w:r>
    </w:p>
    <w:p w:rsidR="00000000" w:rsidRPr="00F90EBE" w:rsidP="006B1D74">
      <w:pPr>
        <w:pStyle w:val="BodyText"/>
      </w:pPr>
      <w:r w:rsidRPr="00F90EBE">
        <w:t>Operational (OPR)</w:t>
      </w:r>
    </w:p>
    <w:p w:rsidR="00000000" w:rsidRPr="00F90EBE" w:rsidP="00F90EBE">
      <w:pPr>
        <w:pStyle w:val="Heading1"/>
      </w:pPr>
      <w:bookmarkStart w:id="5" w:name="O_1184044"/>
      <w:bookmarkEnd w:id="5"/>
      <w:r w:rsidRPr="00F90E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Performance Criteria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>1.1 Read o</w:t>
            </w:r>
            <w:r w:rsidRPr="00F90EBE">
              <w:t>r listen to work instructions from supervisor, and clarify where needed</w:t>
            </w:r>
          </w:p>
          <w:p w:rsidR="00000000" w:rsidRPr="00F90EBE" w:rsidP="00F90EBE">
            <w:pPr>
              <w:pStyle w:val="BodyText"/>
            </w:pPr>
            <w:r w:rsidRPr="00F90EBE">
              <w:t>1.2 Identify work health and safety hazards and tell supervisor</w:t>
            </w:r>
          </w:p>
          <w:p w:rsidR="00000000" w:rsidRPr="00F90EBE" w:rsidP="00F90EBE">
            <w:pPr>
              <w:pStyle w:val="BodyText"/>
            </w:pPr>
            <w:r w:rsidRPr="00F90EBE">
              <w:t>1.3 Wear appropriate personal protective equipment and ensure correct fit</w:t>
            </w:r>
          </w:p>
          <w:p w:rsidR="00000000" w:rsidRPr="00F90EBE" w:rsidP="00F90EBE">
            <w:pPr>
              <w:pStyle w:val="BodyText"/>
            </w:pPr>
            <w:r w:rsidRPr="00F90EBE">
              <w:t>1.4 Confirm that materials and packaging compo</w:t>
            </w:r>
            <w:r w:rsidRPr="00F90EBE">
              <w:t>nents and consumables are available to meet operating and food safety requirements</w:t>
            </w:r>
          </w:p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1.5 Identify and confirm workplace cleaning and maintenance requirements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2. Prepare the filling and closing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 xml:space="preserve">2.1 Fit and adjust machine components and </w:t>
            </w:r>
            <w:r w:rsidRPr="00F90EBE">
              <w:t>related attachments according to health and safety and operating requirements</w:t>
            </w:r>
          </w:p>
          <w:p w:rsidR="00000000" w:rsidRPr="00F90EBE" w:rsidP="00F90EBE">
            <w:pPr>
              <w:pStyle w:val="BodyText"/>
            </w:pPr>
            <w:r w:rsidRPr="00F90EBE">
              <w:t>2.2 Enter operating parameters to meet safety and production requirements</w:t>
            </w:r>
          </w:p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2.3 Carry out pre-start checks, adjusting equipment performance according to operator instructions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3. O</w:t>
            </w:r>
            <w:r w:rsidRPr="00F90EBE">
              <w:t>perate and monitor the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>3.1 Start, operate and monitor the process for variation in operating conditions according to work health and safety and operating procedures</w:t>
            </w:r>
          </w:p>
          <w:p w:rsidR="00000000" w:rsidRPr="00F90EBE" w:rsidP="00F90EBE">
            <w:pPr>
              <w:pStyle w:val="BodyText"/>
            </w:pPr>
            <w:r w:rsidRPr="00F90EBE">
              <w:t>3.2 Monitor the process to confirm that filled and closed containers meet s</w:t>
            </w:r>
            <w:r w:rsidRPr="00F90EBE">
              <w:t>pecifications</w:t>
            </w:r>
          </w:p>
          <w:p w:rsidR="00000000" w:rsidRPr="00F90EBE" w:rsidP="00F90EBE">
            <w:pPr>
              <w:pStyle w:val="BodyText"/>
            </w:pPr>
            <w:r w:rsidRPr="00F90EBE">
              <w:t>3.3 Identify, rectify and report out-of-specification equipment, product and process outcomes according to workplace requirements</w:t>
            </w:r>
          </w:p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3.4 Follow and apply workplace cleaning and environmental procedures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4. Monitor closure and seaming stage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>4.1 M</w:t>
            </w:r>
            <w:r w:rsidRPr="00F90EBE">
              <w:t>onitor the closing stage to confirm that closures and seams meet specifications</w:t>
            </w:r>
          </w:p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4.2 Identify and report out-of-specification process outcomes according to workplace procedures</w:t>
            </w:r>
          </w:p>
        </w:tc>
      </w:tr>
      <w:tr w:rsidTr="006B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5. Shut down the filling and closing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>5.1 Identify the appropriate shutdown procedure, and implement safely according to operating procedures</w:t>
            </w:r>
          </w:p>
          <w:p w:rsidR="00000000" w:rsidRPr="00F90EBE" w:rsidP="00F90EBE">
            <w:pPr>
              <w:pStyle w:val="BodyText"/>
            </w:pPr>
            <w:r w:rsidRPr="00F90EBE">
              <w:t>5.2 Report maintenance requirements according to workplace procedures</w:t>
            </w:r>
          </w:p>
          <w:p w:rsidR="00000000" w:rsidRPr="00F90EBE" w:rsidP="00F90EBE">
            <w:pPr>
              <w:pStyle w:val="BodyText"/>
            </w:pPr>
            <w:r w:rsidRPr="00F90EBE">
              <w:t>5.3 Maintain workplace records according to workplace procedures</w:t>
            </w:r>
          </w:p>
        </w:tc>
      </w:tr>
    </w:tbl>
    <w:p w:rsidR="00000000" w:rsidRPr="00F90EBE" w:rsidP="00F90EBE">
      <w:pPr>
        <w:pStyle w:val="BodyText"/>
      </w:pPr>
    </w:p>
    <w:p w:rsidR="00000000" w:rsidRPr="00F90EBE" w:rsidP="00F90EBE">
      <w:pPr>
        <w:pStyle w:val="AllowPageBreak"/>
      </w:pPr>
    </w:p>
    <w:p w:rsidR="00000000" w:rsidRPr="00F90EBE" w:rsidP="00F90EBE">
      <w:pPr>
        <w:pStyle w:val="Heading1"/>
      </w:pPr>
      <w:bookmarkStart w:id="6" w:name="O_1184043"/>
      <w:bookmarkEnd w:id="6"/>
      <w:r w:rsidRPr="00F90EBE">
        <w:t>Foundation Skills</w:t>
      </w:r>
    </w:p>
    <w:p w:rsidR="00000000" w:rsidRPr="006B1D74" w:rsidP="006B1D74">
      <w:pPr>
        <w:pStyle w:val="BodyText"/>
        <w:rPr>
          <w:i/>
        </w:rPr>
      </w:pPr>
      <w:r w:rsidRPr="006B1D7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Description</w:t>
            </w:r>
          </w:p>
        </w:tc>
      </w:tr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ListBullet"/>
            </w:pPr>
            <w:r w:rsidRPr="00F90EBE">
              <w:t>Interpret work</w:t>
            </w:r>
            <w:r w:rsidRPr="00F90EBE">
              <w:t>place and standard operating procedures relevant to job role</w:t>
            </w:r>
          </w:p>
          <w:p w:rsidR="00000000" w:rsidP="00F90EBE">
            <w:pPr>
              <w:pStyle w:val="ListBullet"/>
              <w:rPr>
                <w:lang w:val="en-NZ"/>
              </w:rPr>
            </w:pPr>
            <w:r w:rsidRPr="00F90EBE">
              <w:t>Interpret production requirements</w:t>
            </w:r>
          </w:p>
        </w:tc>
      </w:tr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ListBullet"/>
              <w:rPr>
                <w:lang w:val="en-NZ"/>
              </w:rPr>
            </w:pPr>
            <w:r w:rsidRPr="00F90EBE">
              <w:t>Record operating, routine maintenance and shutdown information using digital and/or paper-based formats</w:t>
            </w:r>
          </w:p>
        </w:tc>
      </w:tr>
      <w:tr w:rsidTr="00F90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ListBullet"/>
            </w:pPr>
            <w:r w:rsidRPr="00F90EBE">
              <w:t xml:space="preserve">Read and interpret gauges and scales </w:t>
            </w:r>
          </w:p>
          <w:p w:rsidR="00000000" w:rsidRPr="00F90EBE" w:rsidP="00F90EBE">
            <w:pPr>
              <w:pStyle w:val="ListBullet"/>
            </w:pPr>
            <w:r w:rsidRPr="00F90EBE">
              <w:t>Monitor and interpret production and process control indicators and data</w:t>
            </w:r>
          </w:p>
        </w:tc>
      </w:tr>
    </w:tbl>
    <w:p w:rsidR="00000000" w:rsidRPr="00F90EBE" w:rsidP="00F90EBE">
      <w:pPr>
        <w:pStyle w:val="BodyText"/>
      </w:pPr>
    </w:p>
    <w:p w:rsidR="00000000" w:rsidRPr="00F90EBE" w:rsidP="00F90EBE">
      <w:pPr>
        <w:pStyle w:val="AllowPageBreak"/>
      </w:pPr>
    </w:p>
    <w:p w:rsidR="00000000" w:rsidRPr="00F90EBE" w:rsidP="00F90EBE">
      <w:pPr>
        <w:pStyle w:val="Heading1"/>
      </w:pPr>
      <w:bookmarkStart w:id="7" w:name="O_1184042"/>
      <w:bookmarkEnd w:id="7"/>
      <w:r w:rsidRPr="00F90EBE">
        <w:t>Unit Mapping Information</w:t>
      </w:r>
    </w:p>
    <w:tbl>
      <w:tblPr>
        <w:tblW w:w="94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603"/>
        <w:gridCol w:w="2268"/>
      </w:tblGrid>
      <w:tr w:rsidTr="00F90EBE">
        <w:tblPrEx>
          <w:tblW w:w="94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Code and title previous version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Bold"/>
              <w:rPr>
                <w:lang w:val="en-NZ"/>
              </w:rPr>
            </w:pPr>
            <w:r w:rsidRPr="00F90EBE">
              <w:t>Equivalence status</w:t>
            </w:r>
          </w:p>
        </w:tc>
      </w:tr>
      <w:tr w:rsidTr="00F90EBE">
        <w:tblPrEx>
          <w:tblW w:w="94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FBPOPR2019 Fill and close product in cans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FBPOPR2019 Fill and close product in cans             Release 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EBE">
            <w:pPr>
              <w:pStyle w:val="BodyText"/>
              <w:rPr>
                <w:lang w:val="en-NZ"/>
              </w:rPr>
            </w:pPr>
            <w:r w:rsidRPr="00F90EBE">
              <w:t>Foundation Skills descriptions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EBE" w:rsidP="00F90EBE">
            <w:pPr>
              <w:pStyle w:val="BodyText"/>
            </w:pPr>
            <w:r w:rsidRPr="00F90EBE">
              <w:t xml:space="preserve">Equivalent </w:t>
            </w:r>
          </w:p>
        </w:tc>
      </w:tr>
    </w:tbl>
    <w:p w:rsidR="00000000" w:rsidRPr="00F90EBE" w:rsidP="00F90EBE">
      <w:pPr>
        <w:pStyle w:val="BodyText"/>
      </w:pPr>
    </w:p>
    <w:p w:rsidR="00000000" w:rsidRPr="00F90EBE" w:rsidP="00F90EBE">
      <w:pPr>
        <w:pStyle w:val="AllowPageBreak"/>
      </w:pPr>
    </w:p>
    <w:p w:rsidR="00000000" w:rsidRPr="00F90EBE" w:rsidP="00F90EBE">
      <w:pPr>
        <w:pStyle w:val="Heading1"/>
      </w:pPr>
      <w:bookmarkStart w:id="8" w:name="O_1184049"/>
      <w:bookmarkEnd w:id="8"/>
      <w:r w:rsidRPr="00F90EBE">
        <w:t>Links</w:t>
      </w:r>
    </w:p>
    <w:p w:rsidR="00000000" w:rsidRPr="00F90EBE" w:rsidP="006B1D74">
      <w:pPr>
        <w:pStyle w:val="BodyText"/>
      </w:pPr>
      <w:r w:rsidRPr="00F90EBE">
        <w:t>Companion Volumes, including Implementation Guides</w:t>
      </w:r>
      <w:r w:rsidRPr="00F90EBE">
        <w:t xml:space="preserve">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4F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0EBE" w:rsidP="00F90EBE"/>
    <w:sectPr w:rsidSect="00F90E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BE" w:rsidRPr="006B1D74" w:rsidP="006B1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4" w:rsidP="00F90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D74" w:rsidP="00F90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1D74" w:rsidP="00F90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EBE" w:rsidRPr="006B1D74" w:rsidP="006B1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4" w:rsidRPr="002D2AF8" w:rsidP="00F90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FBPOPR2019 Fill and close product in cans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B1D74" w:rsidP="00F90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4E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48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EBE"/>
  </w:style>
  <w:style w:type="character" w:customStyle="1" w:styleId="Heading1Char">
    <w:name w:val="Heading 1 Char"/>
    <w:basedOn w:val="DefaultParagraphFont"/>
    <w:link w:val="Heading1"/>
    <w:rsid w:val="00F90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E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0EBE"/>
    <w:rPr>
      <w:i/>
    </w:rPr>
  </w:style>
  <w:style w:type="paragraph" w:customStyle="1" w:styleId="SuperHeading">
    <w:name w:val="SuperHeading"/>
    <w:basedOn w:val="Normal"/>
    <w:rsid w:val="00F90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0EBE"/>
    <w:rPr>
      <w:b/>
    </w:rPr>
  </w:style>
  <w:style w:type="character" w:customStyle="1" w:styleId="Heading2Char">
    <w:name w:val="Heading 2 Char"/>
    <w:basedOn w:val="DefaultParagraphFont"/>
    <w:link w:val="Heading2"/>
    <w:rsid w:val="00F90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EBE"/>
    <w:rPr>
      <w:b/>
      <w:spacing w:val="0"/>
    </w:rPr>
  </w:style>
  <w:style w:type="paragraph" w:customStyle="1" w:styleId="SuperTitle">
    <w:name w:val="SuperTitle"/>
    <w:basedOn w:val="Title"/>
    <w:rsid w:val="00F90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E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E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EBE"/>
  </w:style>
  <w:style w:type="paragraph" w:styleId="TableofFigures">
    <w:name w:val="table of figures"/>
    <w:basedOn w:val="Normal"/>
    <w:next w:val="Normal"/>
    <w:semiHidden/>
    <w:rsid w:val="00F90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E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EBE"/>
    <w:rPr>
      <w:rFonts w:ascii="Wingdings" w:hAnsi="Wingdings"/>
    </w:rPr>
  </w:style>
  <w:style w:type="paragraph" w:customStyle="1" w:styleId="TableHeading">
    <w:name w:val="Table Heading"/>
    <w:basedOn w:val="HeadingBase"/>
    <w:rsid w:val="00F90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EBE"/>
    <w:rPr>
      <w:color w:val="0033CC"/>
      <w:u w:val="none"/>
    </w:rPr>
  </w:style>
  <w:style w:type="paragraph" w:customStyle="1" w:styleId="BodyTextRight">
    <w:name w:val="Body Text Right"/>
    <w:basedOn w:val="BodyText"/>
    <w:rsid w:val="00F90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E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EBE"/>
    <w:rPr>
      <w:sz w:val="32"/>
    </w:rPr>
  </w:style>
  <w:style w:type="paragraph" w:customStyle="1" w:styleId="HeadingProcedure">
    <w:name w:val="Heading Procedure"/>
    <w:basedOn w:val="HeadingBase"/>
    <w:next w:val="Normal"/>
    <w:rsid w:val="00F90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EBE"/>
    <w:pPr>
      <w:spacing w:before="60" w:after="60"/>
    </w:pPr>
  </w:style>
  <w:style w:type="paragraph" w:styleId="ListContinue">
    <w:name w:val="List Continue"/>
    <w:basedOn w:val="List"/>
    <w:rsid w:val="00F90EBE"/>
    <w:pPr>
      <w:ind w:firstLine="0"/>
    </w:pPr>
  </w:style>
  <w:style w:type="paragraph" w:customStyle="1" w:styleId="ListNote">
    <w:name w:val="List Note"/>
    <w:basedOn w:val="List"/>
    <w:rsid w:val="00F90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EBE"/>
    <w:rPr>
      <w:rFonts w:ascii="Courier New" w:hAnsi="Courier New"/>
    </w:rPr>
  </w:style>
  <w:style w:type="paragraph" w:customStyle="1" w:styleId="NoteBullet">
    <w:name w:val="Note Bullet"/>
    <w:basedOn w:val="Note"/>
    <w:rsid w:val="00F90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E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EBE"/>
    <w:rPr>
      <w:b/>
      <w:smallCaps/>
    </w:rPr>
  </w:style>
  <w:style w:type="paragraph" w:customStyle="1" w:styleId="TableListNumber">
    <w:name w:val="Table List Number"/>
    <w:basedOn w:val="ListNumber"/>
    <w:rsid w:val="00F90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EBE"/>
    <w:pPr>
      <w:numPr>
        <w:numId w:val="8"/>
      </w:numPr>
    </w:pPr>
  </w:style>
  <w:style w:type="paragraph" w:customStyle="1" w:styleId="ListAlpha2">
    <w:name w:val="List Alpha 2"/>
    <w:basedOn w:val="List2"/>
    <w:rsid w:val="00F90EBE"/>
    <w:pPr>
      <w:numPr>
        <w:numId w:val="7"/>
      </w:numPr>
    </w:pPr>
  </w:style>
  <w:style w:type="paragraph" w:styleId="List2">
    <w:name w:val="List 2"/>
    <w:basedOn w:val="BodyText"/>
    <w:rsid w:val="00F90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E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E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EBE"/>
    <w:pPr>
      <w:numPr>
        <w:numId w:val="3"/>
      </w:numPr>
    </w:pPr>
  </w:style>
  <w:style w:type="paragraph" w:styleId="ListContinue2">
    <w:name w:val="List Continue 2"/>
    <w:basedOn w:val="List2"/>
    <w:rsid w:val="00F90EBE"/>
    <w:pPr>
      <w:ind w:firstLine="0"/>
    </w:pPr>
  </w:style>
  <w:style w:type="paragraph" w:styleId="ListContinue3">
    <w:name w:val="List Continue 3"/>
    <w:basedOn w:val="List3"/>
    <w:rsid w:val="00F90EBE"/>
    <w:pPr>
      <w:ind w:left="1021" w:firstLine="0"/>
    </w:pPr>
  </w:style>
  <w:style w:type="paragraph" w:styleId="ListContinue4">
    <w:name w:val="List Continue 4"/>
    <w:basedOn w:val="List4"/>
    <w:rsid w:val="00F90EBE"/>
    <w:pPr>
      <w:ind w:firstLine="0"/>
    </w:pPr>
  </w:style>
  <w:style w:type="paragraph" w:styleId="ListContinue5">
    <w:name w:val="List Continue 5"/>
    <w:basedOn w:val="List5"/>
    <w:rsid w:val="00F90EBE"/>
    <w:pPr>
      <w:ind w:firstLine="0"/>
    </w:pPr>
  </w:style>
  <w:style w:type="paragraph" w:styleId="ListNumber3">
    <w:name w:val="List Number 3"/>
    <w:basedOn w:val="List3"/>
    <w:rsid w:val="00F90EBE"/>
    <w:pPr>
      <w:numPr>
        <w:numId w:val="4"/>
      </w:numPr>
    </w:pPr>
  </w:style>
  <w:style w:type="paragraph" w:styleId="ListNumber4">
    <w:name w:val="List Number 4"/>
    <w:basedOn w:val="List4"/>
    <w:rsid w:val="00F90EBE"/>
    <w:pPr>
      <w:numPr>
        <w:numId w:val="5"/>
      </w:numPr>
    </w:pPr>
  </w:style>
  <w:style w:type="paragraph" w:styleId="ListNumber5">
    <w:name w:val="List Number 5"/>
    <w:basedOn w:val="List5"/>
    <w:rsid w:val="00F90EBE"/>
    <w:pPr>
      <w:numPr>
        <w:numId w:val="6"/>
      </w:numPr>
    </w:pPr>
  </w:style>
  <w:style w:type="paragraph" w:styleId="BlockText">
    <w:name w:val="Block Text"/>
    <w:basedOn w:val="Normal"/>
    <w:rsid w:val="00F90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EBE"/>
    <w:rPr>
      <w:sz w:val="16"/>
      <w:vertAlign w:val="superscript"/>
    </w:rPr>
  </w:style>
  <w:style w:type="character" w:customStyle="1" w:styleId="Symbols">
    <w:name w:val="Symbols"/>
    <w:basedOn w:val="DefaultParagraphFont"/>
    <w:rsid w:val="00F90EBE"/>
    <w:rPr>
      <w:rFonts w:ascii="Symbol" w:hAnsi="Symbol"/>
    </w:rPr>
  </w:style>
  <w:style w:type="character" w:customStyle="1" w:styleId="MenuOptions">
    <w:name w:val="Menu Options"/>
    <w:basedOn w:val="DefaultParagraphFont"/>
    <w:rsid w:val="00F90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EBE"/>
    <w:rPr>
      <w:b/>
    </w:rPr>
  </w:style>
  <w:style w:type="character" w:customStyle="1" w:styleId="Underlined">
    <w:name w:val="Underlined"/>
    <w:basedOn w:val="DefaultParagraphFont"/>
    <w:rsid w:val="00F90EBE"/>
    <w:rPr>
      <w:u w:val="single"/>
    </w:rPr>
  </w:style>
  <w:style w:type="paragraph" w:customStyle="1" w:styleId="TableBodyTextRight">
    <w:name w:val="Table Body Text Right"/>
    <w:basedOn w:val="TableBodyText"/>
    <w:rsid w:val="00F90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EBE"/>
    <w:rPr>
      <w:sz w:val="18"/>
    </w:rPr>
  </w:style>
  <w:style w:type="paragraph" w:customStyle="1" w:styleId="BodySmallRight">
    <w:name w:val="Body Small Right"/>
    <w:basedOn w:val="BodyTextRight"/>
    <w:rsid w:val="00F90EBE"/>
    <w:rPr>
      <w:sz w:val="18"/>
      <w:szCs w:val="18"/>
    </w:rPr>
  </w:style>
  <w:style w:type="paragraph" w:customStyle="1" w:styleId="MarginEdition">
    <w:name w:val="Margin Edition"/>
    <w:basedOn w:val="MarginNote"/>
    <w:rsid w:val="00F90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EBE"/>
    <w:rPr>
      <w:sz w:val="2"/>
      <w:szCs w:val="2"/>
    </w:rPr>
  </w:style>
  <w:style w:type="character" w:customStyle="1" w:styleId="Small">
    <w:name w:val="Small"/>
    <w:basedOn w:val="DefaultParagraphFont"/>
    <w:rsid w:val="00F90EBE"/>
    <w:rPr>
      <w:sz w:val="16"/>
    </w:rPr>
  </w:style>
  <w:style w:type="paragraph" w:customStyle="1" w:styleId="WideTable">
    <w:name w:val="Wide Table"/>
    <w:basedOn w:val="Normal"/>
    <w:rsid w:val="00F90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EBE"/>
  </w:style>
  <w:style w:type="paragraph" w:styleId="Quote">
    <w:name w:val="Quote"/>
    <w:basedOn w:val="Heading1"/>
    <w:link w:val="QuoteChar"/>
    <w:qFormat/>
    <w:rsid w:val="00F90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EBE"/>
    <w:pPr>
      <w:pageBreakBefore/>
    </w:pPr>
  </w:style>
  <w:style w:type="paragraph" w:customStyle="1" w:styleId="Border">
    <w:name w:val="Border"/>
    <w:basedOn w:val="Normal"/>
    <w:qFormat/>
    <w:rsid w:val="00F90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EBE"/>
    <w:rPr>
      <w:u w:val="single"/>
    </w:rPr>
  </w:style>
  <w:style w:type="character" w:customStyle="1" w:styleId="BoldandItalics">
    <w:name w:val="Bold and Italics"/>
    <w:qFormat/>
    <w:rsid w:val="00F90EBE"/>
    <w:rPr>
      <w:b/>
      <w:i/>
      <w:u w:val="none"/>
    </w:rPr>
  </w:style>
  <w:style w:type="paragraph" w:styleId="BalloonText">
    <w:name w:val="Balloon Text"/>
    <w:basedOn w:val="Normal"/>
    <w:link w:val="BalloonTextChar"/>
    <w:rsid w:val="00F90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E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1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614</Words>
  <Characters>3888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FBPOPR2019 Fill and close product in cans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2025-02-21T07:21:00Z</dcterms:modified>
</cp:coreProperties>
</file>