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A48" w:rsidP="002E4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FBPOPR2019 Fill and close product in cans</w:t>
      </w:r>
      <w:r>
        <w:fldChar w:fldCharType="end"/>
      </w:r>
    </w:p>
    <w:p w:rsidR="002E4A48" w:rsidP="002E4A48">
      <w:pPr>
        <w:pStyle w:val="Version"/>
        <w:sectPr w:rsidSect="00731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1CCF" w:rsidP="00731CCF">
      <w:pPr>
        <w:pStyle w:val="SuperHeading"/>
      </w:pPr>
      <w:r w:rsidRPr="00731CCF">
        <w:t>Assessment Requirements for FBPOPR2019 Fill and close product in cans</w:t>
      </w:r>
    </w:p>
    <w:p w:rsidR="00000000" w:rsidRPr="00731CCF" w:rsidP="00731CCF">
      <w:pPr>
        <w:pStyle w:val="Heading1"/>
      </w:pPr>
      <w:bookmarkStart w:id="1" w:name="O_1184040"/>
      <w:bookmarkEnd w:id="1"/>
      <w:r w:rsidRPr="00731C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1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CF">
            <w:pPr>
              <w:pStyle w:val="BodyTextBold"/>
              <w:rPr>
                <w:lang w:val="en-NZ"/>
              </w:rPr>
            </w:pPr>
            <w:r w:rsidRPr="00731C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CF">
            <w:pPr>
              <w:pStyle w:val="BodyTextBold"/>
              <w:rPr>
                <w:lang w:val="en-NZ"/>
              </w:rPr>
            </w:pPr>
            <w:r w:rsidRPr="00731CCF">
              <w:t>Comments</w:t>
            </w:r>
          </w:p>
        </w:tc>
      </w:tr>
      <w:tr w:rsidTr="00731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CF">
            <w:pPr>
              <w:pStyle w:val="BodyText"/>
              <w:rPr>
                <w:lang w:val="en-NZ"/>
              </w:rPr>
            </w:pPr>
            <w:r w:rsidRPr="00731CC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CF">
            <w:pPr>
              <w:pStyle w:val="BodyText"/>
              <w:rPr>
                <w:lang w:val="en-NZ"/>
              </w:rPr>
            </w:pPr>
            <w:r w:rsidRPr="00731CCF">
              <w:t>This version released with FBP Food, Beverage and Pharmaceutical Training Package Version 6.0.</w:t>
            </w:r>
          </w:p>
        </w:tc>
      </w:tr>
      <w:tr w:rsidTr="00731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CCF">
            <w:pPr>
              <w:pStyle w:val="BodyText"/>
              <w:rPr>
                <w:lang w:val="en-NZ"/>
              </w:rPr>
            </w:pPr>
            <w:r w:rsidRPr="00731C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CCF" w:rsidP="00731CCF">
            <w:pPr>
              <w:pStyle w:val="BodyText"/>
            </w:pPr>
            <w:r w:rsidRPr="00731CCF">
              <w:t>This version released with FBP Food, Beverage and Pharmaceutical Training Package Version 1.0.</w:t>
            </w:r>
          </w:p>
        </w:tc>
      </w:tr>
    </w:tbl>
    <w:p w:rsidR="00000000" w:rsidRPr="00731CCF" w:rsidP="00731CCF">
      <w:pPr>
        <w:pStyle w:val="BodyText"/>
      </w:pPr>
    </w:p>
    <w:p w:rsidR="00000000" w:rsidRPr="00731CCF" w:rsidP="00731CCF">
      <w:pPr>
        <w:pStyle w:val="AllowPageBreak"/>
      </w:pPr>
    </w:p>
    <w:p w:rsidR="00000000" w:rsidRPr="00731CCF" w:rsidP="00731CCF">
      <w:pPr>
        <w:pStyle w:val="Heading1"/>
      </w:pPr>
      <w:bookmarkStart w:id="2" w:name="O_1184039"/>
      <w:bookmarkEnd w:id="2"/>
      <w:r w:rsidRPr="00731CCF">
        <w:t>Performance Evidence</w:t>
      </w:r>
    </w:p>
    <w:p w:rsidR="00000000" w:rsidRPr="00731CCF" w:rsidP="002E4A48">
      <w:pPr>
        <w:pStyle w:val="BodyText"/>
      </w:pPr>
      <w:r w:rsidRPr="00731CCF">
        <w:t>An individual demonstrating competency must satisfy all of the elements and performance criteria in this unit.</w:t>
      </w:r>
    </w:p>
    <w:p w:rsidR="00000000" w:rsidRPr="00731CCF" w:rsidP="002E4A48">
      <w:pPr>
        <w:pStyle w:val="BodyText"/>
      </w:pPr>
      <w:r w:rsidRPr="00731CCF">
        <w:t>There mu</w:t>
      </w:r>
      <w:r w:rsidRPr="00731CCF">
        <w:t>st be evidence that the individual has filled and closed product in cans on at least one occasion, including:</w:t>
      </w:r>
    </w:p>
    <w:p w:rsidR="00000000" w:rsidRPr="00731CCF" w:rsidP="00731CCF">
      <w:pPr>
        <w:pStyle w:val="ListBullet"/>
      </w:pPr>
      <w:r w:rsidRPr="00731CCF">
        <w:t>starting, operating, monitoring and adjusting the filling process and equipment to achieve required outcomes, including monitoring control points</w:t>
      </w:r>
      <w:r w:rsidRPr="00731CCF">
        <w:t>, and conducting inspections, as required, to confirm process remains within specification, including:</w:t>
      </w:r>
    </w:p>
    <w:p w:rsidR="00000000" w:rsidRPr="00731CCF" w:rsidP="00731CCF">
      <w:pPr>
        <w:pStyle w:val="ListBullet2"/>
      </w:pPr>
      <w:r w:rsidRPr="00731CCF">
        <w:t>fill temperatures</w:t>
      </w:r>
    </w:p>
    <w:p w:rsidR="00000000" w:rsidRPr="00731CCF" w:rsidP="00731CCF">
      <w:pPr>
        <w:pStyle w:val="ListBullet2"/>
      </w:pPr>
      <w:r w:rsidRPr="00731CCF">
        <w:t>headspace</w:t>
      </w:r>
    </w:p>
    <w:p w:rsidR="00000000" w:rsidRPr="00731CCF" w:rsidP="00731CCF">
      <w:pPr>
        <w:pStyle w:val="ListBullet2"/>
      </w:pPr>
      <w:r w:rsidRPr="00731CCF">
        <w:t>vacuum</w:t>
      </w:r>
    </w:p>
    <w:p w:rsidR="00000000" w:rsidRPr="00731CCF" w:rsidP="00731CCF">
      <w:pPr>
        <w:pStyle w:val="ListBullet2"/>
      </w:pPr>
      <w:r w:rsidRPr="00731CCF">
        <w:t>visual appearance of the product</w:t>
      </w:r>
    </w:p>
    <w:p w:rsidR="00000000" w:rsidRPr="00731CCF" w:rsidP="00731CCF">
      <w:pPr>
        <w:pStyle w:val="ListBullet2"/>
      </w:pPr>
      <w:r w:rsidRPr="00731CCF">
        <w:t>line speed/throughput</w:t>
      </w:r>
    </w:p>
    <w:p w:rsidR="00000000" w:rsidRPr="00731CCF" w:rsidP="00731CCF">
      <w:pPr>
        <w:pStyle w:val="ListBullet"/>
      </w:pPr>
      <w:r w:rsidRPr="00731CCF">
        <w:t>inspecting seams according to enterprise procedures</w:t>
      </w:r>
    </w:p>
    <w:p w:rsidR="00000000" w:rsidRPr="00731CCF" w:rsidP="00731CCF">
      <w:pPr>
        <w:pStyle w:val="ListBullet"/>
      </w:pPr>
      <w:r w:rsidRPr="00731CCF">
        <w:t>applying food safety procedures to work practices</w:t>
      </w:r>
    </w:p>
    <w:p w:rsidR="00000000" w:rsidRPr="00731CCF" w:rsidP="00731CCF">
      <w:pPr>
        <w:pStyle w:val="ListBullet"/>
      </w:pPr>
      <w:r w:rsidRPr="00731CCF">
        <w:t>following safe work procedures.</w:t>
      </w:r>
    </w:p>
    <w:p w:rsidR="00000000" w:rsidRPr="00731CCF" w:rsidP="00731CCF">
      <w:pPr>
        <w:pStyle w:val="AllowPageBreak"/>
      </w:pPr>
    </w:p>
    <w:p w:rsidR="00000000" w:rsidRPr="00731CCF" w:rsidP="00731CCF">
      <w:pPr>
        <w:pStyle w:val="Heading1"/>
      </w:pPr>
      <w:bookmarkStart w:id="3" w:name="O_1184038"/>
      <w:bookmarkEnd w:id="3"/>
      <w:r w:rsidRPr="00731CCF">
        <w:t>Knowledge Evidence</w:t>
      </w:r>
    </w:p>
    <w:p w:rsidR="00000000" w:rsidRPr="00731CCF" w:rsidP="002E4A48">
      <w:pPr>
        <w:pStyle w:val="BodyText"/>
      </w:pPr>
      <w:r w:rsidRPr="00731CCF">
        <w:t xml:space="preserve">An individual must be able to demonstrate the knowledge required to perform the tasks outlined in the elements and performance criteria </w:t>
      </w:r>
      <w:r w:rsidRPr="00731CCF">
        <w:t>of this unit. This includes knowledge of:</w:t>
      </w:r>
    </w:p>
    <w:p w:rsidR="00000000" w:rsidRPr="00731CCF" w:rsidP="00731CCF">
      <w:pPr>
        <w:pStyle w:val="ListBullet"/>
      </w:pPr>
      <w:r w:rsidRPr="00731CCF">
        <w:t xml:space="preserve">purpose and basic principles of filling and closing, including the properties and requirements of packaging materials used, hermetic sealing and properties of containers used for this purpose, coding requirements </w:t>
      </w:r>
      <w:r w:rsidRPr="00731CCF">
        <w:t>and related legal requirements, including product weight</w:t>
      </w:r>
    </w:p>
    <w:p w:rsidR="00000000" w:rsidRPr="00731CCF" w:rsidP="00731CCF">
      <w:pPr>
        <w:pStyle w:val="ListBullet"/>
      </w:pPr>
      <w:r w:rsidRPr="00731CCF">
        <w:t>the flow of this process and the effect of the filling and seaming process on downstream processes</w:t>
      </w:r>
    </w:p>
    <w:p w:rsidR="00000000" w:rsidRPr="00731CCF" w:rsidP="00731CCF">
      <w:pPr>
        <w:pStyle w:val="ListBullet"/>
      </w:pPr>
      <w:r w:rsidRPr="00731CCF">
        <w:t>bas</w:t>
      </w:r>
      <w:r w:rsidRPr="00731CCF">
        <w:t>ic operating principles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731CCF" w:rsidP="00731CCF">
      <w:pPr>
        <w:pStyle w:val="ListBullet"/>
      </w:pPr>
      <w:r w:rsidRPr="00731CCF">
        <w:t>quality characteristics o</w:t>
      </w:r>
      <w:r w:rsidRPr="00731CCF">
        <w:t>f the filled and closed container, including seam components and integrity requirements within level of responsibility for inspection</w:t>
      </w:r>
    </w:p>
    <w:p w:rsidR="00000000" w:rsidRPr="00731CCF" w:rsidP="00731CCF">
      <w:pPr>
        <w:pStyle w:val="ListBullet"/>
      </w:pPr>
      <w:r w:rsidRPr="00731CCF">
        <w:t>effect of raw material characteristics on filling and seaming</w:t>
      </w:r>
    </w:p>
    <w:p w:rsidR="00000000" w:rsidRPr="00731CCF" w:rsidP="00731CCF">
      <w:pPr>
        <w:pStyle w:val="ListBullet"/>
      </w:pPr>
      <w:r w:rsidRPr="00731CCF">
        <w:t>quality parameters for cans and ends</w:t>
      </w:r>
    </w:p>
    <w:p w:rsidR="00000000" w:rsidRPr="00731CCF" w:rsidP="00731CCF">
      <w:pPr>
        <w:pStyle w:val="ListBullet"/>
      </w:pPr>
      <w:r w:rsidRPr="00731CCF">
        <w:t>effect of process varia</w:t>
      </w:r>
      <w:r w:rsidRPr="00731CCF">
        <w:t>bles, including headspace, fill temperature and vacuum, on the process</w:t>
      </w:r>
    </w:p>
    <w:p w:rsidR="00000000" w:rsidRPr="00731CCF" w:rsidP="00731CCF">
      <w:pPr>
        <w:pStyle w:val="ListBullet"/>
      </w:pPr>
      <w:r w:rsidRPr="00731CCF">
        <w:t>operating requirements and parameters, and corrective action required where operation is outside specified operating parameters, including restart procedures following a crash or jam-up</w:t>
      </w:r>
    </w:p>
    <w:p w:rsidR="00000000" w:rsidRPr="00731CCF" w:rsidP="00731CCF">
      <w:pPr>
        <w:pStyle w:val="ListBullet"/>
      </w:pPr>
      <w:r w:rsidRPr="00731CCF">
        <w:t>typical equipment faults and related causes, including signs and symptoms of faulty equipment, and early warning signs of potential problems</w:t>
      </w:r>
    </w:p>
    <w:p w:rsidR="00000000" w:rsidRPr="00731CCF" w:rsidP="00731CCF">
      <w:pPr>
        <w:pStyle w:val="ListBullet"/>
      </w:pPr>
      <w:r w:rsidRPr="00731CCF">
        <w:t>techniques used to monitor the production/packing process, including inspecting, measuring and testing as required</w:t>
      </w:r>
      <w:r w:rsidRPr="00731CCF">
        <w:t xml:space="preserve"> by the process</w:t>
      </w:r>
    </w:p>
    <w:p w:rsidR="00000000" w:rsidRPr="00731CCF" w:rsidP="00731CCF">
      <w:pPr>
        <w:pStyle w:val="ListBullet"/>
      </w:pPr>
      <w:r w:rsidRPr="00731CCF">
        <w:t>inspection or test points (control points) in the process and the related procedures and recording requirements</w:t>
      </w:r>
    </w:p>
    <w:p w:rsidR="00000000" w:rsidRPr="00731CCF" w:rsidP="00731CCF">
      <w:pPr>
        <w:pStyle w:val="ListBullet"/>
      </w:pPr>
      <w:r w:rsidRPr="00731CCF">
        <w:t>contamination/food safety issues associated with filling and seaming, and related control measures</w:t>
      </w:r>
    </w:p>
    <w:p w:rsidR="00000000" w:rsidRPr="00731CCF" w:rsidP="00731CCF">
      <w:pPr>
        <w:pStyle w:val="ListBullet"/>
      </w:pPr>
      <w:r w:rsidRPr="00731CCF">
        <w:t>common causes of variation, a</w:t>
      </w:r>
      <w:r w:rsidRPr="00731CCF">
        <w:t>nd corrective action required</w:t>
      </w:r>
    </w:p>
    <w:p w:rsidR="00000000" w:rsidRPr="00731CCF" w:rsidP="00731CCF">
      <w:pPr>
        <w:pStyle w:val="ListBullet"/>
      </w:pPr>
      <w:r w:rsidRPr="00731CCF">
        <w:t>health and safety hazards and controls relevant to process</w:t>
      </w:r>
    </w:p>
    <w:p w:rsidR="00000000" w:rsidRPr="00731CCF" w:rsidP="00731CCF">
      <w:pPr>
        <w:pStyle w:val="ListBullet"/>
      </w:pPr>
      <w:r w:rsidRPr="00731CCF">
        <w:t>requirements of different shutdowns as appropriate to the process and workplace production requirements, including emergency and routine shutdowns, and procedures to f</w:t>
      </w:r>
      <w:r w:rsidRPr="00731CCF">
        <w:t>ollow in the event of a power outage</w:t>
      </w:r>
    </w:p>
    <w:p w:rsidR="00000000" w:rsidRPr="00731CCF" w:rsidP="00731CCF">
      <w:pPr>
        <w:pStyle w:val="ListBullet"/>
      </w:pPr>
      <w:r w:rsidRPr="00731CCF">
        <w:t>isolation, lock-out and tag-out procedures and responsibilities</w:t>
      </w:r>
    </w:p>
    <w:p w:rsidR="00000000" w:rsidRPr="00731CCF" w:rsidP="00731CCF">
      <w:pPr>
        <w:pStyle w:val="ListBullet"/>
      </w:pPr>
      <w:r w:rsidRPr="00731CCF">
        <w:t>procedures and responsibility for reporting production and performance information</w:t>
      </w:r>
    </w:p>
    <w:p w:rsidR="00000000" w:rsidRPr="00731CCF" w:rsidP="00731CCF">
      <w:pPr>
        <w:pStyle w:val="ListBullet"/>
      </w:pPr>
      <w:r w:rsidRPr="00731CCF">
        <w:t>environmental issues and controls relevant to the process, including was</w:t>
      </w:r>
      <w:r w:rsidRPr="00731CCF">
        <w:t>te collection and handling procedures related to the process</w:t>
      </w:r>
    </w:p>
    <w:p w:rsidR="00000000" w:rsidRPr="00731CCF" w:rsidP="00731CCF">
      <w:pPr>
        <w:pStyle w:val="ListBullet"/>
      </w:pPr>
      <w:r w:rsidRPr="00731CCF">
        <w:t>basic operating principles of process control, where relevant, including the relationship between control panels and systems and the physical equipment</w:t>
      </w:r>
    </w:p>
    <w:p w:rsidR="00000000" w:rsidRPr="00731CCF" w:rsidP="00731CCF">
      <w:pPr>
        <w:pStyle w:val="ListBullet"/>
      </w:pPr>
      <w:r w:rsidRPr="00731CCF">
        <w:t>cleaning and sanitisation procedures for fi</w:t>
      </w:r>
      <w:r w:rsidRPr="00731CCF">
        <w:t>lling and closing product in cans.</w:t>
      </w:r>
    </w:p>
    <w:p w:rsidR="00000000" w:rsidRPr="00731CCF" w:rsidP="00731CCF">
      <w:pPr>
        <w:pStyle w:val="AllowPageBreak"/>
      </w:pPr>
    </w:p>
    <w:p w:rsidR="00000000" w:rsidRPr="00731CCF" w:rsidP="00731CCF">
      <w:pPr>
        <w:pStyle w:val="Heading1"/>
      </w:pPr>
      <w:bookmarkStart w:id="4" w:name="O_1184037"/>
      <w:bookmarkEnd w:id="4"/>
      <w:r w:rsidRPr="00731CCF">
        <w:t>Assessment Conditions</w:t>
      </w:r>
    </w:p>
    <w:p w:rsidR="00000000" w:rsidRPr="00731CCF" w:rsidP="002E4A48">
      <w:pPr>
        <w:pStyle w:val="BodyText"/>
      </w:pPr>
      <w:r w:rsidRPr="00731CCF">
        <w:t>Assessment of the skills in this unit of competency must take place under the following conditions:</w:t>
      </w:r>
    </w:p>
    <w:p w:rsidR="00000000" w:rsidRPr="00731CCF" w:rsidP="00731CCF">
      <w:pPr>
        <w:pStyle w:val="ListBullet"/>
      </w:pPr>
      <w:r w:rsidRPr="00731CCF">
        <w:t>physical conditions:</w:t>
      </w:r>
    </w:p>
    <w:p w:rsidR="00000000" w:rsidRPr="00731CCF" w:rsidP="00731CCF">
      <w:pPr>
        <w:pStyle w:val="ListBullet2"/>
      </w:pPr>
      <w:r w:rsidRPr="00731CCF">
        <w:t xml:space="preserve">a workplace or an environment that </w:t>
      </w:r>
      <w:r w:rsidRPr="00731CCF">
        <w:t>accurately represents workplace conditions</w:t>
      </w:r>
    </w:p>
    <w:p w:rsidR="00000000" w:rsidRPr="00731CCF" w:rsidP="00731CCF">
      <w:pPr>
        <w:pStyle w:val="ListBullet"/>
      </w:pPr>
      <w:r w:rsidRPr="00731CCF">
        <w:t>resources, equipment and materials:</w:t>
      </w:r>
    </w:p>
    <w:p w:rsidR="00000000" w:rsidRPr="00731CCF" w:rsidP="00731CCF">
      <w:pPr>
        <w:pStyle w:val="ListBullet2"/>
      </w:pPr>
      <w:r w:rsidRPr="00731CCF">
        <w:t>personal protective equipment (PPE)</w:t>
      </w:r>
    </w:p>
    <w:p w:rsidR="00000000" w:rsidRPr="00731CCF" w:rsidP="00731CCF">
      <w:pPr>
        <w:pStyle w:val="ListBullet2"/>
      </w:pPr>
      <w:r w:rsidRPr="00731CCF">
        <w:t>filling and closing and related equipment and services</w:t>
      </w:r>
    </w:p>
    <w:p w:rsidR="00000000" w:rsidRPr="00731CCF" w:rsidP="00731CCF">
      <w:pPr>
        <w:pStyle w:val="ListBullet2"/>
      </w:pPr>
      <w:r w:rsidRPr="00731CCF">
        <w:t>materials to be filled as required</w:t>
      </w:r>
    </w:p>
    <w:p w:rsidR="00000000" w:rsidRPr="00731CCF" w:rsidP="00731CCF">
      <w:pPr>
        <w:pStyle w:val="ListBullet2"/>
      </w:pPr>
      <w:r w:rsidRPr="00731CCF">
        <w:t>packaging components/consumables</w:t>
      </w:r>
    </w:p>
    <w:p w:rsidR="00000000" w:rsidRPr="00731CCF" w:rsidP="00731CCF">
      <w:pPr>
        <w:pStyle w:val="ListBullet2"/>
      </w:pPr>
      <w:r w:rsidRPr="00731CCF">
        <w:t>sampling schedul</w:t>
      </w:r>
      <w:r w:rsidRPr="00731CCF">
        <w:t>es and test procedures and equipment as required</w:t>
      </w:r>
    </w:p>
    <w:p w:rsidR="00000000" w:rsidRPr="00731CCF" w:rsidP="00731CCF">
      <w:pPr>
        <w:pStyle w:val="ListBullet2"/>
      </w:pPr>
      <w:r w:rsidRPr="00731CCF">
        <w:t>cleaning procedures, materials and equipment as required</w:t>
      </w:r>
    </w:p>
    <w:p w:rsidR="00000000" w:rsidRPr="00731CCF" w:rsidP="00731CCF">
      <w:pPr>
        <w:pStyle w:val="ListBullet2"/>
      </w:pPr>
      <w:r w:rsidRPr="00731CCF">
        <w:t>documentation</w:t>
      </w:r>
    </w:p>
    <w:p w:rsidR="00000000" w:rsidRPr="00731CCF" w:rsidP="00731CCF">
      <w:pPr>
        <w:pStyle w:val="ListBullet"/>
      </w:pPr>
      <w:r w:rsidRPr="00731CCF">
        <w:t>specifications:</w:t>
      </w:r>
    </w:p>
    <w:p w:rsidR="00000000" w:rsidRPr="00731CCF" w:rsidP="00731CCF">
      <w:pPr>
        <w:pStyle w:val="ListBullet2"/>
      </w:pPr>
      <w:r w:rsidRPr="00731CCF">
        <w:t>work procedures, including advice on safe work practices, food safety, quality and environmental requirements</w:t>
      </w:r>
    </w:p>
    <w:p w:rsidR="00000000" w:rsidRPr="00731CCF" w:rsidP="00731CCF">
      <w:pPr>
        <w:pStyle w:val="ListBullet2"/>
      </w:pPr>
      <w:r w:rsidRPr="00731CCF">
        <w:t>production schedule</w:t>
      </w:r>
    </w:p>
    <w:p w:rsidR="00000000" w:rsidRPr="00731CCF" w:rsidP="00731CCF">
      <w:pPr>
        <w:pStyle w:val="ListBullet2"/>
      </w:pPr>
      <w:r w:rsidRPr="00731CCF">
        <w:t>information on equipment capacity and operating parameters</w:t>
      </w:r>
    </w:p>
    <w:p w:rsidR="00000000" w:rsidRPr="00731CCF" w:rsidP="00731CCF">
      <w:pPr>
        <w:pStyle w:val="ListBullet2"/>
      </w:pPr>
      <w:r w:rsidRPr="00731CCF">
        <w:t>specifications, control points and operating parameters</w:t>
      </w:r>
    </w:p>
    <w:p w:rsidR="00000000" w:rsidRPr="00731CCF" w:rsidP="00731CCF">
      <w:pPr>
        <w:pStyle w:val="ListBullet2"/>
      </w:pPr>
      <w:r w:rsidRPr="00731CCF">
        <w:t>recording requirements and procedures.</w:t>
      </w:r>
    </w:p>
    <w:p w:rsidR="00000000" w:rsidRPr="00731CCF" w:rsidP="002E4A48">
      <w:pPr>
        <w:pStyle w:val="BodyText"/>
      </w:pPr>
      <w:r w:rsidRPr="00731CCF">
        <w:t>Assessors of this unit must satisfy the requirements for assessors in applicable v</w:t>
      </w:r>
      <w:r w:rsidRPr="00731CCF">
        <w:t>ocational education and training legislation, frameworks and/or standards.</w:t>
      </w:r>
    </w:p>
    <w:p w:rsidR="00000000" w:rsidRPr="00731CCF" w:rsidP="00731CCF">
      <w:pPr>
        <w:pStyle w:val="Heading1"/>
      </w:pPr>
      <w:bookmarkStart w:id="5" w:name="O_1184050"/>
      <w:bookmarkEnd w:id="5"/>
      <w:r w:rsidRPr="00731CCF">
        <w:t>Links</w:t>
      </w:r>
    </w:p>
    <w:p w:rsidR="00000000" w:rsidRPr="00731CCF" w:rsidP="002E4A48">
      <w:pPr>
        <w:pStyle w:val="BodyText"/>
      </w:pPr>
      <w:r w:rsidRPr="00731C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7A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31CCF" w:rsidP="00731CCF"/>
    <w:sectPr w:rsidSect="00731C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F" w:rsidRPr="002E4A48" w:rsidP="002E4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48" w:rsidP="00731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A48" w:rsidP="00731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4A48" w:rsidP="00731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CCF" w:rsidRPr="002E4A48" w:rsidP="002E4A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48" w:rsidRPr="002D2AF8" w:rsidP="00731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FBPOPR2019 Fill and close product in cans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E4A48" w:rsidP="00731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507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1C6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85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CCF"/>
  </w:style>
  <w:style w:type="character" w:customStyle="1" w:styleId="Heading1Char">
    <w:name w:val="Heading 1 Char"/>
    <w:basedOn w:val="DefaultParagraphFont"/>
    <w:link w:val="Heading1"/>
    <w:rsid w:val="00731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C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C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1C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1CCF"/>
    <w:rPr>
      <w:b/>
    </w:rPr>
  </w:style>
  <w:style w:type="character" w:customStyle="1" w:styleId="Heading2Char">
    <w:name w:val="Heading 2 Char"/>
    <w:basedOn w:val="DefaultParagraphFont"/>
    <w:link w:val="Heading2"/>
    <w:rsid w:val="00731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C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CCF"/>
    <w:rPr>
      <w:b/>
      <w:spacing w:val="0"/>
    </w:rPr>
  </w:style>
  <w:style w:type="paragraph" w:customStyle="1" w:styleId="SuperTitle">
    <w:name w:val="SuperTitle"/>
    <w:basedOn w:val="Title"/>
    <w:rsid w:val="00731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C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CCF"/>
    <w:rPr>
      <w:i/>
    </w:rPr>
  </w:style>
  <w:style w:type="paragraph" w:styleId="Caption">
    <w:name w:val="caption"/>
    <w:basedOn w:val="BodyText"/>
    <w:next w:val="Normal"/>
    <w:qFormat/>
    <w:rsid w:val="00731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CCF"/>
  </w:style>
  <w:style w:type="paragraph" w:styleId="TableofFigures">
    <w:name w:val="table of figures"/>
    <w:basedOn w:val="Normal"/>
    <w:next w:val="Normal"/>
    <w:semiHidden/>
    <w:rsid w:val="00731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C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CCF"/>
    <w:rPr>
      <w:rFonts w:ascii="Wingdings" w:hAnsi="Wingdings"/>
    </w:rPr>
  </w:style>
  <w:style w:type="paragraph" w:customStyle="1" w:styleId="TableHeading">
    <w:name w:val="Table Heading"/>
    <w:basedOn w:val="HeadingBase"/>
    <w:rsid w:val="00731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CCF"/>
    <w:rPr>
      <w:color w:val="0033CC"/>
      <w:u w:val="none"/>
    </w:rPr>
  </w:style>
  <w:style w:type="paragraph" w:customStyle="1" w:styleId="BodyTextRight">
    <w:name w:val="Body Text Right"/>
    <w:basedOn w:val="BodyText"/>
    <w:rsid w:val="00731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C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CCF"/>
    <w:rPr>
      <w:sz w:val="32"/>
    </w:rPr>
  </w:style>
  <w:style w:type="paragraph" w:customStyle="1" w:styleId="HeadingProcedure">
    <w:name w:val="Heading Procedure"/>
    <w:basedOn w:val="HeadingBase"/>
    <w:next w:val="Normal"/>
    <w:rsid w:val="00731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CCF"/>
    <w:pPr>
      <w:spacing w:before="60" w:after="60"/>
    </w:pPr>
  </w:style>
  <w:style w:type="paragraph" w:styleId="ListContinue">
    <w:name w:val="List Continue"/>
    <w:basedOn w:val="List"/>
    <w:rsid w:val="00731CCF"/>
    <w:pPr>
      <w:ind w:firstLine="0"/>
    </w:pPr>
  </w:style>
  <w:style w:type="paragraph" w:customStyle="1" w:styleId="ListNote">
    <w:name w:val="List Note"/>
    <w:basedOn w:val="List"/>
    <w:rsid w:val="00731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CCF"/>
    <w:rPr>
      <w:rFonts w:ascii="Courier New" w:hAnsi="Courier New"/>
    </w:rPr>
  </w:style>
  <w:style w:type="paragraph" w:customStyle="1" w:styleId="NoteBullet">
    <w:name w:val="Note Bullet"/>
    <w:basedOn w:val="Note"/>
    <w:rsid w:val="00731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C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CCF"/>
    <w:rPr>
      <w:b/>
      <w:smallCaps/>
    </w:rPr>
  </w:style>
  <w:style w:type="paragraph" w:customStyle="1" w:styleId="TableListNumber">
    <w:name w:val="Table List Number"/>
    <w:basedOn w:val="ListNumber"/>
    <w:rsid w:val="00731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CCF"/>
    <w:pPr>
      <w:numPr>
        <w:numId w:val="9"/>
      </w:numPr>
    </w:pPr>
  </w:style>
  <w:style w:type="paragraph" w:customStyle="1" w:styleId="ListAlpha2">
    <w:name w:val="List Alpha 2"/>
    <w:basedOn w:val="List2"/>
    <w:rsid w:val="00731CCF"/>
    <w:pPr>
      <w:numPr>
        <w:numId w:val="8"/>
      </w:numPr>
    </w:pPr>
  </w:style>
  <w:style w:type="paragraph" w:styleId="List2">
    <w:name w:val="List 2"/>
    <w:basedOn w:val="BodyText"/>
    <w:rsid w:val="00731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C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C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CCF"/>
    <w:pPr>
      <w:numPr>
        <w:numId w:val="4"/>
      </w:numPr>
    </w:pPr>
  </w:style>
  <w:style w:type="paragraph" w:styleId="ListContinue2">
    <w:name w:val="List Continue 2"/>
    <w:basedOn w:val="List2"/>
    <w:rsid w:val="00731CCF"/>
    <w:pPr>
      <w:ind w:firstLine="0"/>
    </w:pPr>
  </w:style>
  <w:style w:type="paragraph" w:styleId="ListContinue3">
    <w:name w:val="List Continue 3"/>
    <w:basedOn w:val="List3"/>
    <w:rsid w:val="00731CCF"/>
    <w:pPr>
      <w:ind w:left="1021" w:firstLine="0"/>
    </w:pPr>
  </w:style>
  <w:style w:type="paragraph" w:styleId="ListContinue4">
    <w:name w:val="List Continue 4"/>
    <w:basedOn w:val="List4"/>
    <w:rsid w:val="00731CCF"/>
    <w:pPr>
      <w:ind w:firstLine="0"/>
    </w:pPr>
  </w:style>
  <w:style w:type="paragraph" w:styleId="ListContinue5">
    <w:name w:val="List Continue 5"/>
    <w:basedOn w:val="List5"/>
    <w:rsid w:val="00731CCF"/>
    <w:pPr>
      <w:ind w:firstLine="0"/>
    </w:pPr>
  </w:style>
  <w:style w:type="paragraph" w:styleId="ListNumber3">
    <w:name w:val="List Number 3"/>
    <w:basedOn w:val="List3"/>
    <w:rsid w:val="00731CCF"/>
    <w:pPr>
      <w:numPr>
        <w:numId w:val="5"/>
      </w:numPr>
    </w:pPr>
  </w:style>
  <w:style w:type="paragraph" w:styleId="ListNumber4">
    <w:name w:val="List Number 4"/>
    <w:basedOn w:val="List4"/>
    <w:rsid w:val="00731CCF"/>
    <w:pPr>
      <w:numPr>
        <w:numId w:val="6"/>
      </w:numPr>
    </w:pPr>
  </w:style>
  <w:style w:type="paragraph" w:styleId="ListNumber5">
    <w:name w:val="List Number 5"/>
    <w:basedOn w:val="List5"/>
    <w:rsid w:val="00731CCF"/>
    <w:pPr>
      <w:numPr>
        <w:numId w:val="7"/>
      </w:numPr>
    </w:pPr>
  </w:style>
  <w:style w:type="paragraph" w:styleId="BlockText">
    <w:name w:val="Block Text"/>
    <w:basedOn w:val="Normal"/>
    <w:rsid w:val="00731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CCF"/>
    <w:rPr>
      <w:sz w:val="16"/>
      <w:vertAlign w:val="superscript"/>
    </w:rPr>
  </w:style>
  <w:style w:type="character" w:customStyle="1" w:styleId="Symbols">
    <w:name w:val="Symbols"/>
    <w:basedOn w:val="DefaultParagraphFont"/>
    <w:rsid w:val="00731CCF"/>
    <w:rPr>
      <w:rFonts w:ascii="Symbol" w:hAnsi="Symbol"/>
    </w:rPr>
  </w:style>
  <w:style w:type="character" w:customStyle="1" w:styleId="MenuOptions">
    <w:name w:val="Menu Options"/>
    <w:basedOn w:val="DefaultParagraphFont"/>
    <w:rsid w:val="00731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CCF"/>
    <w:rPr>
      <w:b/>
    </w:rPr>
  </w:style>
  <w:style w:type="character" w:customStyle="1" w:styleId="Underlined">
    <w:name w:val="Underlined"/>
    <w:basedOn w:val="DefaultParagraphFont"/>
    <w:rsid w:val="00731CCF"/>
    <w:rPr>
      <w:u w:val="single"/>
    </w:rPr>
  </w:style>
  <w:style w:type="paragraph" w:customStyle="1" w:styleId="TableBodyTextRight">
    <w:name w:val="Table Body Text Right"/>
    <w:basedOn w:val="TableBodyText"/>
    <w:rsid w:val="00731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CCF"/>
    <w:rPr>
      <w:sz w:val="18"/>
    </w:rPr>
  </w:style>
  <w:style w:type="paragraph" w:customStyle="1" w:styleId="BodySmallRight">
    <w:name w:val="Body Small Right"/>
    <w:basedOn w:val="BodyTextRight"/>
    <w:rsid w:val="00731CCF"/>
    <w:rPr>
      <w:sz w:val="18"/>
      <w:szCs w:val="18"/>
    </w:rPr>
  </w:style>
  <w:style w:type="paragraph" w:customStyle="1" w:styleId="MarginEdition">
    <w:name w:val="Margin Edition"/>
    <w:basedOn w:val="MarginNote"/>
    <w:rsid w:val="00731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CCF"/>
    <w:rPr>
      <w:sz w:val="2"/>
      <w:szCs w:val="2"/>
    </w:rPr>
  </w:style>
  <w:style w:type="character" w:customStyle="1" w:styleId="Small">
    <w:name w:val="Small"/>
    <w:basedOn w:val="DefaultParagraphFont"/>
    <w:rsid w:val="00731CCF"/>
    <w:rPr>
      <w:sz w:val="16"/>
    </w:rPr>
  </w:style>
  <w:style w:type="paragraph" w:customStyle="1" w:styleId="WideTable">
    <w:name w:val="Wide Table"/>
    <w:basedOn w:val="Normal"/>
    <w:rsid w:val="00731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CCF"/>
  </w:style>
  <w:style w:type="paragraph" w:styleId="Quote">
    <w:name w:val="Quote"/>
    <w:basedOn w:val="Heading1"/>
    <w:link w:val="QuoteChar"/>
    <w:qFormat/>
    <w:rsid w:val="00731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CCF"/>
    <w:pPr>
      <w:pageBreakBefore/>
    </w:pPr>
  </w:style>
  <w:style w:type="paragraph" w:customStyle="1" w:styleId="Border">
    <w:name w:val="Border"/>
    <w:basedOn w:val="Normal"/>
    <w:qFormat/>
    <w:rsid w:val="00731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CCF"/>
    <w:rPr>
      <w:u w:val="single"/>
    </w:rPr>
  </w:style>
  <w:style w:type="character" w:customStyle="1" w:styleId="BoldandItalics">
    <w:name w:val="Bold and Italics"/>
    <w:qFormat/>
    <w:rsid w:val="00731CCF"/>
    <w:rPr>
      <w:b/>
      <w:i/>
      <w:u w:val="none"/>
    </w:rPr>
  </w:style>
  <w:style w:type="paragraph" w:styleId="BalloonText">
    <w:name w:val="Balloon Text"/>
    <w:basedOn w:val="Normal"/>
    <w:link w:val="BalloonTextChar"/>
    <w:rsid w:val="00731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C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4A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4463</Characters>
  <Application>Microsoft Office Word</Application>
  <DocSecurity>0</DocSecurity>
  <Lines>106</Lines>
  <Paragraphs>76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FBPOPR2019 Fill and close product in cans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