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CE2" w:rsidP="009E7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FBPOPR2012 Maintain food safety when loading, unloading and transporting food</w:t>
      </w:r>
      <w:r>
        <w:fldChar w:fldCharType="end"/>
      </w:r>
    </w:p>
    <w:p w:rsidR="009E7CE2" w:rsidP="009E7CE2">
      <w:pPr>
        <w:pStyle w:val="Version"/>
        <w:sectPr w:rsidSect="00E00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CAF" w:rsidP="00E00CAF">
      <w:pPr>
        <w:pStyle w:val="SuperHeading"/>
      </w:pPr>
      <w:r w:rsidRPr="00E00CAF">
        <w:t>FBPOPR2012 Maintain food safety when loading, unloading and transporting food</w:t>
      </w:r>
    </w:p>
    <w:p w:rsidR="00000000" w:rsidRPr="00E00CAF" w:rsidP="00E00CAF">
      <w:pPr>
        <w:pStyle w:val="Heading1"/>
      </w:pPr>
      <w:bookmarkStart w:id="1" w:name="O_971572"/>
      <w:bookmarkEnd w:id="1"/>
      <w:r w:rsidRPr="00E00C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rPr>
                <w:rStyle w:val="SpecialBold"/>
              </w:rPr>
              <w:t>Comments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t>This version released with FBP Food, Beverage and Pharmaceutical Training Package Version 1.0</w:t>
            </w:r>
          </w:p>
        </w:tc>
      </w:tr>
    </w:tbl>
    <w:p w:rsidR="00000000" w:rsidRPr="00E00CAF" w:rsidP="00E00CAF">
      <w:pPr>
        <w:pStyle w:val="BodyText"/>
      </w:pPr>
    </w:p>
    <w:p w:rsidR="00000000" w:rsidRPr="00E00CAF" w:rsidP="00E00CAF">
      <w:pPr>
        <w:pStyle w:val="AllowPageBreak"/>
      </w:pPr>
    </w:p>
    <w:p w:rsidR="00000000" w:rsidRPr="00E00CAF" w:rsidP="00E00CAF">
      <w:pPr>
        <w:pStyle w:val="Heading1"/>
      </w:pPr>
      <w:bookmarkStart w:id="2" w:name="O_971573"/>
      <w:bookmarkEnd w:id="2"/>
      <w:r w:rsidRPr="00E00CAF">
        <w:t>Application</w:t>
      </w:r>
    </w:p>
    <w:p w:rsidR="00000000" w:rsidRPr="00E00CAF" w:rsidP="009E7CE2">
      <w:pPr>
        <w:pStyle w:val="BodyText"/>
      </w:pPr>
      <w:r w:rsidRPr="00E00CAF">
        <w:t>This unit of competency describes the skills and knowledge required to maintain food safety when loading and transporting temperature-sensitive ingredients and products.</w:t>
      </w:r>
    </w:p>
    <w:p w:rsidR="00000000" w:rsidRPr="00E00CAF" w:rsidP="009E7CE2">
      <w:pPr>
        <w:pStyle w:val="BodyText"/>
      </w:pPr>
      <w:r w:rsidRPr="00E00CAF">
        <w:t>This unit applies to loading, unloading and transport activities w</w:t>
      </w:r>
      <w:r w:rsidRPr="00E00CAF">
        <w:t>here the transport operator does not have direct physical contact with food. Where food is handled directly by the transport operator, the relevant food handling unit also applies.</w:t>
      </w:r>
    </w:p>
    <w:p w:rsidR="00000000" w:rsidRPr="00E00CAF" w:rsidP="009E7CE2">
      <w:pPr>
        <w:pStyle w:val="BodyText"/>
      </w:pPr>
      <w:r w:rsidRPr="00E00CAF">
        <w:t>All work must be carried out to comply with workplace procedures, in accord</w:t>
      </w:r>
      <w:r w:rsidRPr="00E00CAF">
        <w:t>ance with State/Territory work health and safety, and food safety regulations, legislation and standards that apply to the workplace.</w:t>
      </w:r>
    </w:p>
    <w:p w:rsidR="00000000" w:rsidRPr="00E00CAF" w:rsidP="009E7CE2">
      <w:pPr>
        <w:pStyle w:val="BodyText"/>
      </w:pPr>
      <w:r w:rsidRPr="00E00CAF">
        <w:t>No occupational licensing, legislative or certification requirements apply to this unit at the time of publication.</w:t>
      </w:r>
    </w:p>
    <w:p w:rsidR="00000000" w:rsidRPr="00E00CAF" w:rsidP="00E00CAF">
      <w:pPr>
        <w:pStyle w:val="Heading1"/>
      </w:pPr>
      <w:bookmarkStart w:id="3" w:name="O_971574"/>
      <w:bookmarkEnd w:id="3"/>
      <w:r w:rsidRPr="00E00CAF">
        <w:t>Pre-requisite Unit</w:t>
      </w:r>
    </w:p>
    <w:p w:rsidR="00000000" w:rsidRPr="00E00CAF" w:rsidP="009E7CE2">
      <w:pPr>
        <w:pStyle w:val="BodyText"/>
      </w:pPr>
      <w:r w:rsidRPr="00E00CAF">
        <w:t>Nil</w:t>
      </w:r>
    </w:p>
    <w:p w:rsidR="00000000" w:rsidRPr="00E00CAF" w:rsidP="00E00CAF">
      <w:pPr>
        <w:pStyle w:val="Heading1"/>
      </w:pPr>
      <w:bookmarkStart w:id="4" w:name="O_971576"/>
      <w:bookmarkEnd w:id="4"/>
      <w:r w:rsidRPr="00E00CAF">
        <w:t>Unit Sector</w:t>
      </w:r>
    </w:p>
    <w:p w:rsidR="00000000" w:rsidRPr="00E00CAF" w:rsidP="009E7CE2">
      <w:pPr>
        <w:pStyle w:val="BodyText"/>
      </w:pPr>
      <w:r w:rsidRPr="00E00CAF">
        <w:t>Operational (OPR)</w:t>
      </w:r>
    </w:p>
    <w:p w:rsidR="00000000" w:rsidRPr="00E00CAF" w:rsidP="00E00CAF">
      <w:pPr>
        <w:pStyle w:val="Heading1"/>
      </w:pPr>
      <w:bookmarkStart w:id="5" w:name="O_971577"/>
      <w:bookmarkEnd w:id="5"/>
      <w:r w:rsidRPr="00E00C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rPr>
                <w:rStyle w:val="SpecialBold"/>
              </w:rPr>
              <w:t>Performance Criteria</w:t>
            </w:r>
          </w:p>
        </w:tc>
      </w:tr>
      <w:tr w:rsidTr="009E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1. Prepare to transport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t>1.1 Read or listen to work instructions from supervisor and clarify where needed</w:t>
            </w:r>
          </w:p>
          <w:p w:rsidR="00000000" w:rsidRPr="00E00CAF" w:rsidP="00E00CAF">
            <w:pPr>
              <w:pStyle w:val="BodyText"/>
            </w:pPr>
            <w:r w:rsidRPr="00E00CAF">
              <w:t>1.2 Identify work health and safety hazards and t</w:t>
            </w:r>
            <w:r w:rsidRPr="00E00CAF">
              <w:t>ell supervisor</w:t>
            </w:r>
          </w:p>
          <w:p w:rsidR="00000000" w:rsidRPr="00E00CAF" w:rsidP="00E00CAF">
            <w:pPr>
              <w:pStyle w:val="BodyText"/>
            </w:pPr>
            <w:r w:rsidRPr="00E00CAF">
              <w:t>1.3 Wear appropriate personal protective equipment and ensure correct fit</w:t>
            </w:r>
          </w:p>
          <w:p w:rsidR="00000000" w:rsidRPr="00E00CAF" w:rsidP="00E00CAF">
            <w:pPr>
              <w:pStyle w:val="BodyText"/>
            </w:pPr>
            <w:r w:rsidRPr="00E00CAF">
              <w:t>1.4 Confirm that food storage vehicles, containers and receptacles are appropriate for use</w:t>
            </w:r>
          </w:p>
          <w:p w:rsidR="00000000" w:rsidRPr="00E00CAF" w:rsidP="00E00CAF">
            <w:pPr>
              <w:pStyle w:val="BodyText"/>
            </w:pPr>
            <w:r w:rsidRPr="00E00CAF">
              <w:t>1.5 Prepare food storage vehicles and containers and receptacles for use according to workplace procedures and safety and food safety requirements</w:t>
            </w:r>
          </w:p>
          <w:p w:rsidR="00000000" w:rsidRPr="00E00CAF" w:rsidP="00E00CAF">
            <w:pPr>
              <w:pStyle w:val="BodyText"/>
            </w:pPr>
            <w:r w:rsidRPr="00E00CAF">
              <w:t>1.6 Load and secure food to meet transportation and temperature control requirements according to workplace p</w:t>
            </w:r>
            <w:r w:rsidRPr="00E00CAF">
              <w:t>rocedures and food safety requirements</w:t>
            </w:r>
          </w:p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1.7 Follow hand washing and disinfecting procedures according to food safety requirements</w:t>
            </w:r>
          </w:p>
        </w:tc>
      </w:tr>
      <w:tr w:rsidTr="009E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2. Load, unload and transport food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t>2.1 Monitor food safety control measures to ensure that food safety is maintained du</w:t>
            </w:r>
            <w:r w:rsidRPr="00E00CAF">
              <w:t>ring transport</w:t>
            </w:r>
          </w:p>
          <w:p w:rsidR="00000000" w:rsidRPr="00E00CAF" w:rsidP="00E00CAF">
            <w:pPr>
              <w:pStyle w:val="BodyText"/>
            </w:pPr>
            <w:r w:rsidRPr="00E00CAF">
              <w:t>2.2 Report incidents where food safety control requirements are not met and take corrective action as directed</w:t>
            </w:r>
          </w:p>
          <w:p w:rsidR="00000000" w:rsidRPr="00E00CAF" w:rsidP="00E00CAF">
            <w:pPr>
              <w:pStyle w:val="BodyText"/>
            </w:pPr>
            <w:r w:rsidRPr="00E00CAF">
              <w:t>2.3 Unload food according to workplace procedures and transportation and temperature control requirements</w:t>
            </w:r>
          </w:p>
          <w:p w:rsidR="00000000" w:rsidRPr="00E00CAF" w:rsidP="00E00CAF">
            <w:pPr>
              <w:pStyle w:val="BodyText"/>
            </w:pPr>
            <w:r w:rsidRPr="00E00CAF">
              <w:t>2.4 Record food safety i</w:t>
            </w:r>
            <w:r w:rsidRPr="00E00CAF">
              <w:t>nformation according to workplace procedures</w:t>
            </w:r>
          </w:p>
        </w:tc>
      </w:tr>
    </w:tbl>
    <w:p w:rsidR="00000000" w:rsidRPr="00E00CAF" w:rsidP="00E00CAF">
      <w:pPr>
        <w:pStyle w:val="BodyText"/>
      </w:pPr>
    </w:p>
    <w:p w:rsidR="00000000" w:rsidRPr="00E00CAF" w:rsidP="00E00CAF">
      <w:pPr>
        <w:pStyle w:val="AllowPageBreak"/>
      </w:pPr>
    </w:p>
    <w:p w:rsidR="00000000" w:rsidRPr="00E00CAF" w:rsidP="00E00CAF">
      <w:pPr>
        <w:pStyle w:val="Heading1"/>
      </w:pPr>
      <w:bookmarkStart w:id="6" w:name="O_971578"/>
      <w:bookmarkEnd w:id="6"/>
      <w:r w:rsidRPr="00E00CAF">
        <w:t>Foundation Skills</w:t>
      </w:r>
    </w:p>
    <w:p w:rsidR="00000000" w:rsidRPr="009E7CE2" w:rsidP="009E7CE2">
      <w:pPr>
        <w:pStyle w:val="BodyText"/>
        <w:rPr>
          <w:i/>
        </w:rPr>
      </w:pPr>
      <w:r w:rsidRPr="009E7CE2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9E7CE2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rPr>
                <w:rStyle w:val="SpecialBold"/>
              </w:rPr>
              <w:t>Description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ListBullet"/>
            </w:pPr>
            <w:r w:rsidRPr="00E00CAF">
              <w:t>Assemble and sort product</w:t>
            </w:r>
          </w:p>
          <w:p w:rsidR="00000000" w:rsidRPr="00E00CAF" w:rsidP="00E00CAF">
            <w:pPr>
              <w:pStyle w:val="ListBullet"/>
            </w:pPr>
            <w:r w:rsidRPr="00E00CAF">
              <w:t>Count accurately</w:t>
            </w:r>
          </w:p>
          <w:p w:rsidR="00000000" w:rsidRPr="00E00CAF" w:rsidP="00E00CAF">
            <w:pPr>
              <w:pStyle w:val="ListBullet"/>
            </w:pPr>
            <w:r w:rsidRPr="00E00CAF">
              <w:t>Read a thermometer and temperature charts</w:t>
            </w:r>
          </w:p>
          <w:p w:rsidR="00000000" w:rsidP="00E00CAF">
            <w:pPr>
              <w:pStyle w:val="ListBullet"/>
              <w:rPr>
                <w:lang w:val="en-NZ"/>
              </w:rPr>
            </w:pPr>
            <w:r w:rsidRPr="00E00CAF">
              <w:t>Weigh product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ListBullet"/>
            </w:pPr>
            <w:r w:rsidRPr="00E00CAF">
              <w:t>Check cleaning records</w:t>
            </w:r>
          </w:p>
          <w:p w:rsidR="00000000" w:rsidP="00E00CAF">
            <w:pPr>
              <w:pStyle w:val="ListBullet"/>
              <w:rPr>
                <w:lang w:val="en-NZ"/>
              </w:rPr>
            </w:pPr>
            <w:r w:rsidRPr="00E00CAF">
              <w:t>Interpret and follow food safety and work health and safety requirements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ListBullet"/>
            </w:pPr>
            <w:r w:rsidRPr="00E00CAF">
              <w:t>Apply workplace procedures relevant to own responsibilities</w:t>
            </w:r>
          </w:p>
          <w:p w:rsidR="00000000" w:rsidRPr="00E00CAF" w:rsidP="00E00CAF">
            <w:pPr>
              <w:pStyle w:val="ListBullet"/>
            </w:pPr>
            <w:r w:rsidRPr="00E00CAF">
              <w:t xml:space="preserve">Understand main tasks, responsibilities and boundaries of own role, including use of personal protective clothing and equipment, housekeeping standards and procedures, </w:t>
            </w:r>
            <w:r w:rsidRPr="00E00CAF">
              <w:t>quality requirements and operating procedures</w:t>
            </w:r>
          </w:p>
          <w:p w:rsidR="00000000" w:rsidP="00E00CAF">
            <w:pPr>
              <w:pStyle w:val="ListBullet"/>
              <w:rPr>
                <w:lang w:val="en-NZ"/>
              </w:rPr>
            </w:pPr>
            <w:r w:rsidRPr="00E00CAF">
              <w:t>Take steps to develop skills and knowledge of temperature controlled food products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ListBullet"/>
            </w:pPr>
            <w:r w:rsidRPr="00E00CAF">
              <w:t>Communicate and report operational and safety information to relevant persons</w:t>
            </w:r>
          </w:p>
          <w:p w:rsidR="00000000" w:rsidRPr="00E00CAF" w:rsidP="00E00CAF">
            <w:pPr>
              <w:pStyle w:val="ListBullet"/>
            </w:pPr>
            <w:r w:rsidRPr="00E00CAF">
              <w:t>Select and use appropriate</w:t>
            </w:r>
            <w:r w:rsidRPr="00E00CAF">
              <w:t xml:space="preserve"> terminology when communicating with personnel</w:t>
            </w:r>
          </w:p>
          <w:p w:rsidR="00000000" w:rsidP="00E00CAF">
            <w:pPr>
              <w:pStyle w:val="ListBullet"/>
              <w:rPr>
                <w:lang w:val="en-NZ"/>
              </w:rPr>
            </w:pPr>
            <w:r w:rsidRPr="00E00CAF">
              <w:t>Participate in conversations relevant to role by responding and explaining as required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ListBullet"/>
            </w:pPr>
            <w:r w:rsidRPr="00E00CAF">
              <w:t>Make routine decisions relating to temperature, freshness and handling of product</w:t>
            </w:r>
          </w:p>
          <w:p w:rsidR="00000000" w:rsidRPr="00E00CAF" w:rsidP="00E00CAF">
            <w:pPr>
              <w:pStyle w:val="ListBullet"/>
            </w:pPr>
            <w:r w:rsidRPr="00E00CAF">
              <w:t>Recognise and respond to non-conforming product</w:t>
            </w:r>
          </w:p>
          <w:p w:rsidR="00000000" w:rsidRPr="00E00CAF" w:rsidP="00E00CAF">
            <w:pPr>
              <w:pStyle w:val="ListBullet"/>
            </w:pPr>
            <w:r w:rsidRPr="00E00CAF">
              <w:t>Use digital technologies including electronic scales</w:t>
            </w:r>
          </w:p>
        </w:tc>
      </w:tr>
    </w:tbl>
    <w:p w:rsidR="00000000" w:rsidRPr="00E00CAF" w:rsidP="00E00CAF">
      <w:pPr>
        <w:pStyle w:val="BodyText"/>
      </w:pPr>
    </w:p>
    <w:p w:rsidR="00000000" w:rsidRPr="00E00CAF" w:rsidP="00E00CAF">
      <w:pPr>
        <w:pStyle w:val="AllowPageBreak"/>
      </w:pPr>
    </w:p>
    <w:p w:rsidR="00000000" w:rsidRPr="00E00CAF" w:rsidP="00E00CAF">
      <w:pPr>
        <w:pStyle w:val="Heading1"/>
      </w:pPr>
      <w:bookmarkStart w:id="7" w:name="O_971580"/>
      <w:bookmarkEnd w:id="7"/>
      <w:r w:rsidRPr="00E00C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rPr>
                <w:rStyle w:val="SpecialBold"/>
              </w:rPr>
              <w:t>Equivalence status</w:t>
            </w:r>
          </w:p>
        </w:tc>
      </w:tr>
      <w:tr w:rsidTr="00E00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FBPOPR2012 Maintain food safety when loading, unloading and transporting food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FDFOP2012A Maintain food safety when loading, unloading and transporting food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AF">
            <w:pPr>
              <w:pStyle w:val="BodyText"/>
              <w:rPr>
                <w:lang w:val="en-NZ"/>
              </w:rPr>
            </w:pPr>
            <w:r w:rsidRPr="00E00CA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AF" w:rsidP="00E00CAF">
            <w:pPr>
              <w:pStyle w:val="BodyText"/>
            </w:pPr>
            <w:r w:rsidRPr="00E00CAF">
              <w:t>Equivalent unit</w:t>
            </w:r>
          </w:p>
        </w:tc>
      </w:tr>
    </w:tbl>
    <w:p w:rsidR="00000000" w:rsidRPr="00E00CAF" w:rsidP="00E00CAF">
      <w:pPr>
        <w:pStyle w:val="BodyText"/>
      </w:pPr>
    </w:p>
    <w:p w:rsidR="00000000" w:rsidRPr="00E00CAF" w:rsidP="00E00CAF">
      <w:pPr>
        <w:pStyle w:val="AllowPageBreak"/>
      </w:pPr>
    </w:p>
    <w:p w:rsidR="00000000" w:rsidRPr="00E00CAF" w:rsidP="00E00CAF">
      <w:pPr>
        <w:pStyle w:val="Heading1"/>
      </w:pPr>
      <w:bookmarkStart w:id="8" w:name="O_971587"/>
      <w:bookmarkEnd w:id="8"/>
      <w:r w:rsidRPr="00E00CAF">
        <w:t>Links</w:t>
      </w:r>
    </w:p>
    <w:p w:rsidR="00000000" w:rsidRPr="00E00CAF" w:rsidP="009E7CE2">
      <w:pPr>
        <w:pStyle w:val="BodyText"/>
      </w:pPr>
      <w:r w:rsidRPr="00E00CAF">
        <w:t>Companion V</w:t>
      </w:r>
      <w:r w:rsidRPr="00E00CAF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54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CAF" w:rsidP="00E00CAF"/>
    <w:sectPr w:rsidSect="00E00C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AF" w:rsidRPr="009E7CE2" w:rsidP="009E7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2" w:rsidP="00E00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CE2" w:rsidP="00E00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7CE2" w:rsidP="00E00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CAF" w:rsidRPr="009E7CE2" w:rsidP="009E7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2" w:rsidRPr="002D2AF8" w:rsidP="00E00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FBPOPR2012 Maintain food safety when loading, unloading and transporting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E7CE2" w:rsidP="00E00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82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C5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CAF"/>
  </w:style>
  <w:style w:type="character" w:customStyle="1" w:styleId="Heading1Char">
    <w:name w:val="Heading 1 Char"/>
    <w:basedOn w:val="DefaultParagraphFont"/>
    <w:link w:val="Heading1"/>
    <w:rsid w:val="00E00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C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CAF"/>
    <w:rPr>
      <w:b/>
      <w:spacing w:val="0"/>
    </w:rPr>
  </w:style>
  <w:style w:type="character" w:styleId="Emphasis">
    <w:name w:val="Emphasis"/>
    <w:basedOn w:val="DefaultParagraphFont"/>
    <w:qFormat/>
    <w:rsid w:val="00E00CAF"/>
    <w:rPr>
      <w:i/>
    </w:rPr>
  </w:style>
  <w:style w:type="paragraph" w:customStyle="1" w:styleId="SuperHeading">
    <w:name w:val="SuperHeading"/>
    <w:basedOn w:val="Normal"/>
    <w:rsid w:val="00E00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C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C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CAF"/>
  </w:style>
  <w:style w:type="paragraph" w:styleId="TableofFigures">
    <w:name w:val="table of figures"/>
    <w:basedOn w:val="Normal"/>
    <w:next w:val="Normal"/>
    <w:semiHidden/>
    <w:rsid w:val="00E00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C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CAF"/>
    <w:rPr>
      <w:rFonts w:ascii="Wingdings" w:hAnsi="Wingdings"/>
    </w:rPr>
  </w:style>
  <w:style w:type="paragraph" w:customStyle="1" w:styleId="TableHeading">
    <w:name w:val="Table Heading"/>
    <w:basedOn w:val="HeadingBase"/>
    <w:rsid w:val="00E00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CAF"/>
    <w:rPr>
      <w:color w:val="0033CC"/>
      <w:u w:val="none"/>
    </w:rPr>
  </w:style>
  <w:style w:type="paragraph" w:customStyle="1" w:styleId="BodyTextRight">
    <w:name w:val="Body Text Right"/>
    <w:basedOn w:val="BodyText"/>
    <w:rsid w:val="00E00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C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CAF"/>
    <w:rPr>
      <w:sz w:val="32"/>
    </w:rPr>
  </w:style>
  <w:style w:type="paragraph" w:customStyle="1" w:styleId="HeadingProcedure">
    <w:name w:val="Heading Procedure"/>
    <w:basedOn w:val="HeadingBase"/>
    <w:next w:val="Normal"/>
    <w:rsid w:val="00E00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CAF"/>
    <w:pPr>
      <w:spacing w:before="60" w:after="60"/>
    </w:pPr>
  </w:style>
  <w:style w:type="paragraph" w:styleId="ListContinue">
    <w:name w:val="List Continue"/>
    <w:basedOn w:val="List"/>
    <w:rsid w:val="00E00CAF"/>
    <w:pPr>
      <w:ind w:firstLine="0"/>
    </w:pPr>
  </w:style>
  <w:style w:type="paragraph" w:customStyle="1" w:styleId="ListNote">
    <w:name w:val="List Note"/>
    <w:basedOn w:val="List"/>
    <w:rsid w:val="00E00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CAF"/>
    <w:rPr>
      <w:rFonts w:ascii="Courier New" w:hAnsi="Courier New"/>
    </w:rPr>
  </w:style>
  <w:style w:type="paragraph" w:customStyle="1" w:styleId="NoteBullet">
    <w:name w:val="Note Bullet"/>
    <w:basedOn w:val="Note"/>
    <w:rsid w:val="00E00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C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CAF"/>
    <w:rPr>
      <w:b/>
      <w:smallCaps/>
    </w:rPr>
  </w:style>
  <w:style w:type="paragraph" w:customStyle="1" w:styleId="TableListNumber">
    <w:name w:val="Table List Number"/>
    <w:basedOn w:val="ListNumber"/>
    <w:rsid w:val="00E00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CAF"/>
    <w:pPr>
      <w:numPr>
        <w:numId w:val="8"/>
      </w:numPr>
    </w:pPr>
  </w:style>
  <w:style w:type="paragraph" w:customStyle="1" w:styleId="ListAlpha2">
    <w:name w:val="List Alpha 2"/>
    <w:basedOn w:val="List2"/>
    <w:rsid w:val="00E00CAF"/>
    <w:pPr>
      <w:numPr>
        <w:numId w:val="7"/>
      </w:numPr>
    </w:pPr>
  </w:style>
  <w:style w:type="paragraph" w:styleId="List2">
    <w:name w:val="List 2"/>
    <w:basedOn w:val="BodyText"/>
    <w:rsid w:val="00E00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C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C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CAF"/>
    <w:pPr>
      <w:numPr>
        <w:numId w:val="3"/>
      </w:numPr>
    </w:pPr>
  </w:style>
  <w:style w:type="paragraph" w:styleId="ListContinue2">
    <w:name w:val="List Continue 2"/>
    <w:basedOn w:val="List2"/>
    <w:rsid w:val="00E00CAF"/>
    <w:pPr>
      <w:ind w:firstLine="0"/>
    </w:pPr>
  </w:style>
  <w:style w:type="paragraph" w:styleId="ListContinue3">
    <w:name w:val="List Continue 3"/>
    <w:basedOn w:val="List3"/>
    <w:rsid w:val="00E00CAF"/>
    <w:pPr>
      <w:ind w:left="1021" w:firstLine="0"/>
    </w:pPr>
  </w:style>
  <w:style w:type="paragraph" w:styleId="ListContinue4">
    <w:name w:val="List Continue 4"/>
    <w:basedOn w:val="List4"/>
    <w:rsid w:val="00E00CAF"/>
    <w:pPr>
      <w:ind w:firstLine="0"/>
    </w:pPr>
  </w:style>
  <w:style w:type="paragraph" w:styleId="ListContinue5">
    <w:name w:val="List Continue 5"/>
    <w:basedOn w:val="List5"/>
    <w:rsid w:val="00E00CAF"/>
    <w:pPr>
      <w:ind w:firstLine="0"/>
    </w:pPr>
  </w:style>
  <w:style w:type="paragraph" w:styleId="ListNumber3">
    <w:name w:val="List Number 3"/>
    <w:basedOn w:val="List3"/>
    <w:rsid w:val="00E00CAF"/>
    <w:pPr>
      <w:numPr>
        <w:numId w:val="4"/>
      </w:numPr>
    </w:pPr>
  </w:style>
  <w:style w:type="paragraph" w:styleId="ListNumber4">
    <w:name w:val="List Number 4"/>
    <w:basedOn w:val="List4"/>
    <w:rsid w:val="00E00CAF"/>
    <w:pPr>
      <w:numPr>
        <w:numId w:val="5"/>
      </w:numPr>
    </w:pPr>
  </w:style>
  <w:style w:type="paragraph" w:styleId="ListNumber5">
    <w:name w:val="List Number 5"/>
    <w:basedOn w:val="List5"/>
    <w:rsid w:val="00E00CAF"/>
    <w:pPr>
      <w:numPr>
        <w:numId w:val="6"/>
      </w:numPr>
    </w:pPr>
  </w:style>
  <w:style w:type="paragraph" w:styleId="BlockText">
    <w:name w:val="Block Text"/>
    <w:basedOn w:val="Normal"/>
    <w:rsid w:val="00E00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CAF"/>
    <w:rPr>
      <w:sz w:val="16"/>
      <w:vertAlign w:val="superscript"/>
    </w:rPr>
  </w:style>
  <w:style w:type="character" w:customStyle="1" w:styleId="Symbols">
    <w:name w:val="Symbols"/>
    <w:basedOn w:val="DefaultParagraphFont"/>
    <w:rsid w:val="00E00CAF"/>
    <w:rPr>
      <w:rFonts w:ascii="Symbol" w:hAnsi="Symbol"/>
    </w:rPr>
  </w:style>
  <w:style w:type="character" w:customStyle="1" w:styleId="MenuOptions">
    <w:name w:val="Menu Options"/>
    <w:basedOn w:val="DefaultParagraphFont"/>
    <w:rsid w:val="00E00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CAF"/>
    <w:rPr>
      <w:b/>
    </w:rPr>
  </w:style>
  <w:style w:type="character" w:customStyle="1" w:styleId="Underlined">
    <w:name w:val="Underlined"/>
    <w:basedOn w:val="DefaultParagraphFont"/>
    <w:rsid w:val="00E00CAF"/>
    <w:rPr>
      <w:u w:val="single"/>
    </w:rPr>
  </w:style>
  <w:style w:type="paragraph" w:customStyle="1" w:styleId="TableBodyTextRight">
    <w:name w:val="Table Body Text Right"/>
    <w:basedOn w:val="TableBodyText"/>
    <w:rsid w:val="00E00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CAF"/>
    <w:rPr>
      <w:sz w:val="18"/>
    </w:rPr>
  </w:style>
  <w:style w:type="paragraph" w:customStyle="1" w:styleId="BodySmallRight">
    <w:name w:val="Body Small Right"/>
    <w:basedOn w:val="BodyTextRight"/>
    <w:rsid w:val="00E00CAF"/>
    <w:rPr>
      <w:sz w:val="18"/>
      <w:szCs w:val="18"/>
    </w:rPr>
  </w:style>
  <w:style w:type="paragraph" w:customStyle="1" w:styleId="MarginEdition">
    <w:name w:val="Margin Edition"/>
    <w:basedOn w:val="MarginNote"/>
    <w:rsid w:val="00E00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CAF"/>
    <w:rPr>
      <w:sz w:val="2"/>
      <w:szCs w:val="2"/>
    </w:rPr>
  </w:style>
  <w:style w:type="character" w:customStyle="1" w:styleId="Small">
    <w:name w:val="Small"/>
    <w:basedOn w:val="DefaultParagraphFont"/>
    <w:rsid w:val="00E00CAF"/>
    <w:rPr>
      <w:sz w:val="16"/>
    </w:rPr>
  </w:style>
  <w:style w:type="paragraph" w:customStyle="1" w:styleId="WideTable">
    <w:name w:val="Wide Table"/>
    <w:basedOn w:val="Normal"/>
    <w:rsid w:val="00E00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CAF"/>
  </w:style>
  <w:style w:type="paragraph" w:styleId="Quote">
    <w:name w:val="Quote"/>
    <w:basedOn w:val="Heading1"/>
    <w:link w:val="QuoteChar"/>
    <w:qFormat/>
    <w:rsid w:val="00E00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CAF"/>
    <w:pPr>
      <w:pageBreakBefore/>
    </w:pPr>
  </w:style>
  <w:style w:type="paragraph" w:customStyle="1" w:styleId="Border">
    <w:name w:val="Border"/>
    <w:basedOn w:val="Normal"/>
    <w:qFormat/>
    <w:rsid w:val="00E00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CAF"/>
    <w:rPr>
      <w:u w:val="single"/>
    </w:rPr>
  </w:style>
  <w:style w:type="character" w:customStyle="1" w:styleId="BoldandItalics">
    <w:name w:val="Bold and Italics"/>
    <w:qFormat/>
    <w:rsid w:val="00E00CAF"/>
    <w:rPr>
      <w:b/>
      <w:i/>
      <w:u w:val="none"/>
    </w:rPr>
  </w:style>
  <w:style w:type="paragraph" w:styleId="BalloonText">
    <w:name w:val="Balloon Text"/>
    <w:basedOn w:val="Normal"/>
    <w:link w:val="BalloonTextChar"/>
    <w:rsid w:val="00E00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CAF"/>
    <w:pPr>
      <w:spacing w:before="0" w:after="0"/>
    </w:pPr>
  </w:style>
  <w:style w:type="paragraph" w:customStyle="1" w:styleId="BodyTextBold">
    <w:name w:val="Body Text Bold"/>
    <w:basedOn w:val="BodyText"/>
    <w:qFormat/>
    <w:rsid w:val="00E00CAF"/>
    <w:rPr>
      <w:b/>
    </w:rPr>
  </w:style>
  <w:style w:type="character" w:styleId="Hyperlink">
    <w:name w:val="Hyperlink"/>
    <w:basedOn w:val="DefaultParagraphFont"/>
    <w:uiPriority w:val="99"/>
    <w:unhideWhenUsed/>
    <w:rsid w:val="009E7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3854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FBPOPR2012 Maintain food safety when loading, unloading and transporting food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