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116" w:rsidP="001731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FBPOIL3012 Operate and monitor storage of virgin olive oil</w:t>
      </w:r>
      <w:r>
        <w:fldChar w:fldCharType="end"/>
      </w:r>
    </w:p>
    <w:p w:rsidR="00173116" w:rsidP="00173116">
      <w:pPr>
        <w:pStyle w:val="Version"/>
        <w:sectPr w:rsidSect="00D14A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A24" w:rsidP="00D14A24">
      <w:pPr>
        <w:pStyle w:val="SuperHeading"/>
      </w:pPr>
      <w:r w:rsidRPr="00D14A24">
        <w:t>Assessment Requirements for FBPOIL3012 Operate and monitor storage of virgin olive oil</w:t>
      </w:r>
    </w:p>
    <w:p w:rsidR="00000000" w:rsidRPr="00D14A24" w:rsidP="00D14A24">
      <w:pPr>
        <w:pStyle w:val="Heading1"/>
      </w:pPr>
      <w:bookmarkStart w:id="1" w:name="O_1183754"/>
      <w:bookmarkEnd w:id="1"/>
      <w:r w:rsidRPr="00D14A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4A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A24">
            <w:pPr>
              <w:pStyle w:val="BodyTextBold"/>
              <w:rPr>
                <w:lang w:val="en-NZ"/>
              </w:rPr>
            </w:pPr>
            <w:r w:rsidRPr="00D14A2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A24">
            <w:pPr>
              <w:pStyle w:val="BodyTextBold"/>
              <w:rPr>
                <w:lang w:val="en-NZ"/>
              </w:rPr>
            </w:pPr>
            <w:r w:rsidRPr="00D14A24">
              <w:t>Comments</w:t>
            </w:r>
          </w:p>
        </w:tc>
      </w:tr>
      <w:tr w:rsidTr="00D14A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A24">
            <w:pPr>
              <w:pStyle w:val="BodyText"/>
              <w:rPr>
                <w:lang w:val="en-NZ"/>
              </w:rPr>
            </w:pPr>
            <w:r w:rsidRPr="00D14A2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A24" w:rsidP="00D14A24">
            <w:pPr>
              <w:pStyle w:val="BodyText"/>
            </w:pPr>
            <w:r w:rsidRPr="00D14A24">
              <w:t>This version released with FBP Food, Beverage and Pharmaceutical Training Package Version 6.0.</w:t>
            </w:r>
          </w:p>
        </w:tc>
      </w:tr>
    </w:tbl>
    <w:p w:rsidR="00000000" w:rsidRPr="00D14A24" w:rsidP="00D14A24">
      <w:pPr>
        <w:pStyle w:val="BodyText"/>
      </w:pPr>
    </w:p>
    <w:p w:rsidR="00000000" w:rsidRPr="00D14A24" w:rsidP="00D14A24">
      <w:pPr>
        <w:pStyle w:val="AllowPageBreak"/>
      </w:pPr>
    </w:p>
    <w:p w:rsidR="00000000" w:rsidRPr="00D14A24" w:rsidP="00D14A24">
      <w:pPr>
        <w:pStyle w:val="Heading1"/>
      </w:pPr>
      <w:bookmarkStart w:id="2" w:name="O_1183755"/>
      <w:bookmarkEnd w:id="2"/>
      <w:r w:rsidRPr="00D14A24">
        <w:t>Performance Evidence</w:t>
      </w:r>
    </w:p>
    <w:p w:rsidR="00000000" w:rsidRPr="00D14A24" w:rsidP="00173116">
      <w:pPr>
        <w:pStyle w:val="BodyText"/>
      </w:pPr>
      <w:r w:rsidRPr="00D14A24">
        <w:t>An individual demonstrating competency must satisfy all of the elements and performance criteria in this unit.</w:t>
      </w:r>
    </w:p>
    <w:p w:rsidR="00000000" w:rsidRPr="00D14A24" w:rsidP="00173116">
      <w:pPr>
        <w:pStyle w:val="BodyText"/>
      </w:pPr>
      <w:r w:rsidRPr="00D14A24">
        <w:t>There must be evidence that the individual has operated and monitored the storage of at least one batch of</w:t>
      </w:r>
      <w:r w:rsidRPr="00D14A24">
        <w:t xml:space="preserve"> virgin olive oil, including:</w:t>
      </w:r>
    </w:p>
    <w:p w:rsidR="00000000" w:rsidRPr="00D14A24" w:rsidP="00D14A24">
      <w:pPr>
        <w:pStyle w:val="ListBullet"/>
      </w:pPr>
      <w:r w:rsidRPr="00D14A24">
        <w:t>applying safe work procedures</w:t>
      </w:r>
    </w:p>
    <w:p w:rsidR="00000000" w:rsidRPr="00D14A24" w:rsidP="00D14A24">
      <w:pPr>
        <w:pStyle w:val="ListBullet"/>
      </w:pPr>
      <w:r w:rsidRPr="00D14A24">
        <w:t>following food safety procedures</w:t>
      </w:r>
    </w:p>
    <w:p w:rsidR="00000000" w:rsidRPr="00D14A24" w:rsidP="00D14A24">
      <w:pPr>
        <w:pStyle w:val="ListBullet"/>
      </w:pPr>
      <w:r w:rsidRPr="00D14A24">
        <w:t>monitoring and adjusting the storage environment and equipment to achieve required outcomes</w:t>
      </w:r>
    </w:p>
    <w:p w:rsidR="00000000" w:rsidRPr="00D14A24" w:rsidP="00D14A24">
      <w:pPr>
        <w:pStyle w:val="ListBullet"/>
      </w:pPr>
      <w:r w:rsidRPr="00D14A24">
        <w:t>taking corrective action in response to typical changes in the storage environment.</w:t>
      </w:r>
    </w:p>
    <w:p w:rsidR="00000000" w:rsidRPr="00D14A24" w:rsidP="00D14A24">
      <w:pPr>
        <w:pStyle w:val="AllowPageBreak"/>
      </w:pPr>
    </w:p>
    <w:p w:rsidR="00000000" w:rsidRPr="00D14A24" w:rsidP="00D14A24">
      <w:pPr>
        <w:pStyle w:val="Heading1"/>
      </w:pPr>
      <w:bookmarkStart w:id="3" w:name="O_1183756"/>
      <w:bookmarkEnd w:id="3"/>
      <w:r w:rsidRPr="00D14A24">
        <w:t>Knowledge Evidence</w:t>
      </w:r>
    </w:p>
    <w:p w:rsidR="00000000" w:rsidRPr="00D14A24" w:rsidP="00173116">
      <w:pPr>
        <w:pStyle w:val="BodyText"/>
      </w:pPr>
      <w:r w:rsidRPr="00D14A24">
        <w:t>An individual must be able to demonstrate the knowledge required to perform the tasks outlined in the elements and performance criteri</w:t>
      </w:r>
      <w:r w:rsidRPr="00D14A24">
        <w:t>a of this unit. This includes knowledge of:</w:t>
      </w:r>
    </w:p>
    <w:p w:rsidR="00000000" w:rsidRPr="00D14A24" w:rsidP="00D14A24">
      <w:pPr>
        <w:pStyle w:val="ListBullet"/>
      </w:pPr>
      <w:r w:rsidRPr="00D14A24">
        <w:t>Australian Standard for Olive Oils and Olive-Pomace Oils (AS 5264-2011) </w:t>
      </w:r>
    </w:p>
    <w:p w:rsidR="00000000" w:rsidRPr="00D14A24" w:rsidP="00D14A24">
      <w:pPr>
        <w:pStyle w:val="ListBullet"/>
      </w:pPr>
      <w:r w:rsidRPr="00D14A24">
        <w:t>Australian Olive Industry Code of Practice</w:t>
      </w:r>
    </w:p>
    <w:p w:rsidR="00000000" w:rsidRPr="00D14A24" w:rsidP="00D14A24">
      <w:pPr>
        <w:pStyle w:val="ListBullet"/>
      </w:pPr>
      <w:r w:rsidRPr="00D14A24">
        <w:t>the flow of the holding and storage process and the effect of product output on downstream proc</w:t>
      </w:r>
      <w:r w:rsidRPr="00D14A24">
        <w:t>esses</w:t>
      </w:r>
    </w:p>
    <w:p w:rsidR="00000000" w:rsidRPr="00D14A24" w:rsidP="00D14A24">
      <w:pPr>
        <w:pStyle w:val="ListBullet"/>
      </w:pPr>
      <w:r w:rsidRPr="00D14A24">
        <w:t>contamination/cross-contamination and food safety risks associated with the holding and storage process, and related control measures</w:t>
      </w:r>
    </w:p>
    <w:p w:rsidR="00000000" w:rsidRPr="00D14A24" w:rsidP="00D14A24">
      <w:pPr>
        <w:pStyle w:val="ListBullet"/>
      </w:pPr>
      <w:r w:rsidRPr="00D14A24">
        <w:t>time required for oil to settle</w:t>
      </w:r>
    </w:p>
    <w:p w:rsidR="00000000" w:rsidRPr="00D14A24" w:rsidP="00D14A24">
      <w:pPr>
        <w:pStyle w:val="ListBullet"/>
      </w:pPr>
      <w:r w:rsidRPr="00D14A24">
        <w:t>settling of olive oil, including the processes of purging, racking-off and filtratio</w:t>
      </w:r>
      <w:r w:rsidRPr="00D14A24">
        <w:t xml:space="preserve">n </w:t>
      </w:r>
    </w:p>
    <w:p w:rsidR="00000000" w:rsidRPr="00D14A24" w:rsidP="00D14A24">
      <w:pPr>
        <w:pStyle w:val="ListBullet"/>
      </w:pPr>
      <w:r w:rsidRPr="00D14A24">
        <w:t>when filtration is required</w:t>
      </w:r>
    </w:p>
    <w:p w:rsidR="00000000" w:rsidRPr="00D14A24" w:rsidP="00D14A24">
      <w:pPr>
        <w:pStyle w:val="ListBullet"/>
      </w:pPr>
      <w:r w:rsidRPr="00D14A24">
        <w:t>ideal storage conditions for virgin olive oil, including temperature, container properties, length of time product is stored</w:t>
      </w:r>
    </w:p>
    <w:p w:rsidR="00000000" w:rsidRPr="00D14A24" w:rsidP="00D14A24">
      <w:pPr>
        <w:pStyle w:val="ListBullet"/>
      </w:pPr>
      <w:r w:rsidRPr="00D14A24">
        <w:t xml:space="preserve">organoleptic properties of different types of olive oil </w:t>
      </w:r>
    </w:p>
    <w:p w:rsidR="00000000" w:rsidRPr="00D14A24" w:rsidP="00D14A24">
      <w:pPr>
        <w:pStyle w:val="ListBullet"/>
      </w:pPr>
      <w:r w:rsidRPr="00D14A24">
        <w:t>factors that accelerate the breakdown of vi</w:t>
      </w:r>
      <w:r w:rsidRPr="00D14A24">
        <w:t>rgin olive oil, including:</w:t>
      </w:r>
    </w:p>
    <w:p w:rsidR="00000000" w:rsidRPr="00D14A24" w:rsidP="00D14A24">
      <w:pPr>
        <w:pStyle w:val="ListBullet2"/>
      </w:pPr>
      <w:r w:rsidRPr="00D14A24">
        <w:t xml:space="preserve">exposure to air (oxidation) </w:t>
      </w:r>
    </w:p>
    <w:p w:rsidR="00000000" w:rsidRPr="00D14A24" w:rsidP="00D14A24">
      <w:pPr>
        <w:pStyle w:val="ListBullet2"/>
      </w:pPr>
      <w:r w:rsidRPr="00D14A24">
        <w:t>heat</w:t>
      </w:r>
    </w:p>
    <w:p w:rsidR="00000000" w:rsidRPr="00D14A24" w:rsidP="00D14A24">
      <w:pPr>
        <w:pStyle w:val="ListBullet2"/>
      </w:pPr>
      <w:r w:rsidRPr="00D14A24">
        <w:t>light (and using transparent containers)</w:t>
      </w:r>
    </w:p>
    <w:p w:rsidR="00000000" w:rsidRPr="00D14A24" w:rsidP="00D14A24">
      <w:pPr>
        <w:pStyle w:val="ListBullet2"/>
      </w:pPr>
      <w:r w:rsidRPr="00D14A24">
        <w:t xml:space="preserve">contact with sediments and water (hydrolysis) </w:t>
      </w:r>
    </w:p>
    <w:p w:rsidR="00000000" w:rsidRPr="00D14A24" w:rsidP="00D14A24">
      <w:pPr>
        <w:pStyle w:val="ListBullet2"/>
      </w:pPr>
      <w:r w:rsidRPr="00D14A24">
        <w:t>delayed processing of harvested fruit (causing fermentation)</w:t>
      </w:r>
    </w:p>
    <w:p w:rsidR="00000000" w:rsidRPr="00D14A24" w:rsidP="00D14A24">
      <w:pPr>
        <w:pStyle w:val="ListBullet2"/>
      </w:pPr>
      <w:r w:rsidRPr="00D14A24">
        <w:t>processing damaged (high FFA) fruit (diseased, mummified, split, over-ripe, frosted), which will result in defective oils</w:t>
      </w:r>
    </w:p>
    <w:p w:rsidR="00000000" w:rsidRPr="00D14A24" w:rsidP="00D14A24">
      <w:pPr>
        <w:pStyle w:val="ListBullet2"/>
      </w:pPr>
      <w:r w:rsidRPr="00D14A24">
        <w:t>variety and style (oxidative stability)</w:t>
      </w:r>
    </w:p>
    <w:p w:rsidR="00000000" w:rsidRPr="00D14A24" w:rsidP="00D14A24">
      <w:pPr>
        <w:pStyle w:val="ListBullet2"/>
      </w:pPr>
      <w:r w:rsidRPr="00D14A24">
        <w:t xml:space="preserve">time </w:t>
      </w:r>
    </w:p>
    <w:p w:rsidR="00000000" w:rsidRPr="00D14A24" w:rsidP="00D14A24">
      <w:pPr>
        <w:pStyle w:val="ListBullet"/>
      </w:pPr>
      <w:r w:rsidRPr="00D14A24">
        <w:t>types of containers used to store bulk olive oil, and their characteristics</w:t>
      </w:r>
    </w:p>
    <w:p w:rsidR="00000000" w:rsidRPr="00D14A24" w:rsidP="00D14A24">
      <w:pPr>
        <w:pStyle w:val="ListBullet"/>
      </w:pPr>
      <w:r w:rsidRPr="00D14A24">
        <w:t xml:space="preserve">techniques </w:t>
      </w:r>
      <w:r w:rsidRPr="00D14A24">
        <w:t>used to monitor the holding and storage process, including inspecting, measuring and testing by the process</w:t>
      </w:r>
    </w:p>
    <w:p w:rsidR="00000000" w:rsidRPr="00D14A24" w:rsidP="00D14A24">
      <w:pPr>
        <w:pStyle w:val="ListBullet"/>
      </w:pPr>
      <w:r w:rsidRPr="00D14A24">
        <w:t>characteristics of different types of olive oil (extra virgin, virgin, refined, light, pomace)</w:t>
      </w:r>
    </w:p>
    <w:p w:rsidR="00000000" w:rsidRPr="00D14A24" w:rsidP="00D14A24">
      <w:pPr>
        <w:pStyle w:val="ListBullet"/>
      </w:pPr>
      <w:r w:rsidRPr="00D14A24">
        <w:t>sampling methods</w:t>
      </w:r>
    </w:p>
    <w:p w:rsidR="00000000" w:rsidRPr="00D14A24" w:rsidP="00D14A24">
      <w:pPr>
        <w:pStyle w:val="ListBullet"/>
      </w:pPr>
      <w:r w:rsidRPr="00D14A24">
        <w:t>typical tests undertaken to determin</w:t>
      </w:r>
      <w:r w:rsidRPr="00D14A24">
        <w:t>e the quality of olive oil, including tests to detect alteration and refining processes, including soft deodorisation</w:t>
      </w:r>
    </w:p>
    <w:p w:rsidR="00000000" w:rsidRPr="00D14A24" w:rsidP="00D14A24">
      <w:pPr>
        <w:pStyle w:val="ListBullet"/>
      </w:pPr>
      <w:r w:rsidRPr="00D14A24">
        <w:t>parameters that identify olive oil as fresh, well processed and stored appropriately, including:</w:t>
      </w:r>
    </w:p>
    <w:p w:rsidR="00000000" w:rsidRPr="00D14A24" w:rsidP="00D14A24">
      <w:pPr>
        <w:pStyle w:val="ListBullet2"/>
      </w:pPr>
      <w:r w:rsidRPr="00D14A24">
        <w:t xml:space="preserve">free fatty acids (FFAs) in the vicinity </w:t>
      </w:r>
      <w:r w:rsidRPr="00D14A24">
        <w:t>of ≤0.4</w:t>
      </w:r>
    </w:p>
    <w:p w:rsidR="00000000" w:rsidRPr="00D14A24" w:rsidP="00D14A24">
      <w:pPr>
        <w:pStyle w:val="ListBullet2"/>
      </w:pPr>
      <w:r w:rsidRPr="00D14A24">
        <w:t>peroxide value (PV) in the vicinity of ≤12</w:t>
      </w:r>
    </w:p>
    <w:p w:rsidR="00000000" w:rsidRPr="00D14A24" w:rsidP="00D14A24">
      <w:pPr>
        <w:pStyle w:val="ListBullet2"/>
      </w:pPr>
      <w:r w:rsidRPr="00D14A24">
        <w:t xml:space="preserve">K232 values under 2.00 and K268 values under 0.18 </w:t>
      </w:r>
    </w:p>
    <w:p w:rsidR="00000000" w:rsidRPr="00D14A24" w:rsidP="00D14A24">
      <w:pPr>
        <w:pStyle w:val="ListBullet2"/>
      </w:pPr>
      <w:r w:rsidRPr="00D14A24">
        <w:t>pyropheophytin a (PPP) &lt;1 % of PPPs (which will increase 6–8 % per year, under ideal storage conditions)</w:t>
      </w:r>
    </w:p>
    <w:p w:rsidR="00000000" w:rsidRPr="00D14A24" w:rsidP="00D14A24">
      <w:pPr>
        <w:pStyle w:val="ListBullet2"/>
      </w:pPr>
      <w:r w:rsidRPr="00D14A24">
        <w:t>around 90% of 1,2-diacylglycerols (DAG) (which will decrease 20–25 % per year, under ideal storage conditions)</w:t>
      </w:r>
    </w:p>
    <w:p w:rsidR="00000000" w:rsidRPr="00D14A24" w:rsidP="00D14A24">
      <w:pPr>
        <w:pStyle w:val="ListBullet"/>
      </w:pPr>
      <w:r w:rsidRPr="00D14A24">
        <w:t>common olive oil defects and how each is caused:</w:t>
      </w:r>
    </w:p>
    <w:p w:rsidR="00000000" w:rsidRPr="00D14A24" w:rsidP="00D14A24">
      <w:pPr>
        <w:pStyle w:val="ListBullet2"/>
      </w:pPr>
      <w:r w:rsidRPr="00D14A24">
        <w:t xml:space="preserve">fusty </w:t>
      </w:r>
    </w:p>
    <w:p w:rsidR="00000000" w:rsidRPr="00D14A24" w:rsidP="00D14A24">
      <w:pPr>
        <w:pStyle w:val="ListBullet2"/>
      </w:pPr>
      <w:r w:rsidRPr="00D14A24">
        <w:t xml:space="preserve">musty </w:t>
      </w:r>
    </w:p>
    <w:p w:rsidR="00000000" w:rsidRPr="00D14A24" w:rsidP="00D14A24">
      <w:pPr>
        <w:pStyle w:val="ListBullet2"/>
      </w:pPr>
      <w:r w:rsidRPr="00D14A24">
        <w:t>winey (vinegary)</w:t>
      </w:r>
    </w:p>
    <w:p w:rsidR="00000000" w:rsidRPr="00D14A24" w:rsidP="00D14A24">
      <w:pPr>
        <w:pStyle w:val="ListBullet2"/>
      </w:pPr>
      <w:r w:rsidRPr="00D14A24">
        <w:t xml:space="preserve">muddy (sediment) </w:t>
      </w:r>
    </w:p>
    <w:p w:rsidR="00000000" w:rsidRPr="00D14A24" w:rsidP="00D14A24">
      <w:pPr>
        <w:pStyle w:val="ListBullet2"/>
      </w:pPr>
      <w:r w:rsidRPr="00D14A24">
        <w:t xml:space="preserve">rancid </w:t>
      </w:r>
    </w:p>
    <w:p w:rsidR="00000000" w:rsidRPr="00D14A24" w:rsidP="00D14A24">
      <w:pPr>
        <w:pStyle w:val="ListBullet"/>
      </w:pPr>
      <w:r w:rsidRPr="00D14A24">
        <w:t>methods for maintaining oil temperat</w:t>
      </w:r>
      <w:r w:rsidRPr="00D14A24">
        <w:t>ure during storage or distribution</w:t>
      </w:r>
    </w:p>
    <w:p w:rsidR="00000000" w:rsidRPr="00D14A24" w:rsidP="00D14A24">
      <w:pPr>
        <w:pStyle w:val="ListBullet"/>
      </w:pPr>
      <w:r w:rsidRPr="00D14A24">
        <w:t>health and safety hazards and controls, including the limitations of protective clothing and equipment relevant to the work process</w:t>
      </w:r>
    </w:p>
    <w:p w:rsidR="00000000" w:rsidRPr="00D14A24" w:rsidP="00D14A24">
      <w:pPr>
        <w:pStyle w:val="ListBullet"/>
      </w:pPr>
      <w:r w:rsidRPr="00D14A24">
        <w:t>environmental issues and controls relevant to the process, including disposal of waste wa</w:t>
      </w:r>
      <w:r w:rsidRPr="00D14A24">
        <w:t>ter and defect products</w:t>
      </w:r>
    </w:p>
    <w:p w:rsidR="00000000" w:rsidRPr="00D14A24" w:rsidP="00D14A24">
      <w:pPr>
        <w:pStyle w:val="ListBullet"/>
      </w:pPr>
      <w:r w:rsidRPr="00D14A24">
        <w:t>basic operating principles of process control, including the relationship between control panels and systems and the physical equipment</w:t>
      </w:r>
    </w:p>
    <w:p w:rsidR="00000000" w:rsidRPr="00D14A24" w:rsidP="00D14A24">
      <w:pPr>
        <w:pStyle w:val="ListBullet"/>
      </w:pPr>
      <w:r w:rsidRPr="00D14A24">
        <w:t>cleaning and sanitisation procedures required for the storage containers, storage area and equip</w:t>
      </w:r>
      <w:r w:rsidRPr="00D14A24">
        <w:t>ment</w:t>
      </w:r>
    </w:p>
    <w:p w:rsidR="00000000" w:rsidRPr="00D14A24" w:rsidP="00D14A24">
      <w:pPr>
        <w:pStyle w:val="ListBullet"/>
      </w:pPr>
      <w:r w:rsidRPr="00D14A24">
        <w:t>recording requirements to ensure traceability and biosecurity of product.</w:t>
      </w:r>
    </w:p>
    <w:p w:rsidR="00000000" w:rsidRPr="00D14A24" w:rsidP="00D14A24">
      <w:pPr>
        <w:pStyle w:val="AllowPageBreak"/>
      </w:pPr>
    </w:p>
    <w:p w:rsidR="00000000" w:rsidRPr="00D14A24" w:rsidP="00D14A24">
      <w:pPr>
        <w:pStyle w:val="Heading1"/>
      </w:pPr>
      <w:bookmarkStart w:id="4" w:name="O_1183757"/>
      <w:bookmarkEnd w:id="4"/>
      <w:r w:rsidRPr="00D14A24">
        <w:t>Assessment Conditions</w:t>
      </w:r>
    </w:p>
    <w:p w:rsidR="00000000" w:rsidRPr="00D14A24" w:rsidP="00173116">
      <w:pPr>
        <w:pStyle w:val="BodyText"/>
      </w:pPr>
      <w:r w:rsidRPr="00D14A24">
        <w:t>Assessment of the skills in this unit of competency must take place under the following conditions:</w:t>
      </w:r>
    </w:p>
    <w:p w:rsidR="00000000" w:rsidRPr="00D14A24" w:rsidP="00D14A24">
      <w:pPr>
        <w:pStyle w:val="ListBullet"/>
      </w:pPr>
      <w:r w:rsidRPr="00D14A24">
        <w:t>physical conditions:</w:t>
      </w:r>
    </w:p>
    <w:p w:rsidR="00000000" w:rsidRPr="00D14A24" w:rsidP="00D14A24">
      <w:pPr>
        <w:pStyle w:val="ListBullet2"/>
      </w:pPr>
      <w:r w:rsidRPr="00D14A24">
        <w:t>a food storage workplace or an environment that accurately represents workplace conditions</w:t>
      </w:r>
    </w:p>
    <w:p w:rsidR="00000000" w:rsidRPr="00D14A24" w:rsidP="00D14A24">
      <w:pPr>
        <w:pStyle w:val="ListBullet"/>
      </w:pPr>
      <w:r w:rsidRPr="00D14A24">
        <w:t>resources, equipment and materials:</w:t>
      </w:r>
    </w:p>
    <w:p w:rsidR="00000000" w:rsidRPr="00D14A24" w:rsidP="00D14A24">
      <w:pPr>
        <w:pStyle w:val="ListBullet2"/>
      </w:pPr>
      <w:r w:rsidRPr="00D14A24">
        <w:t xml:space="preserve">personal protective clothing </w:t>
      </w:r>
    </w:p>
    <w:p w:rsidR="00000000" w:rsidRPr="00D14A24" w:rsidP="00D14A24">
      <w:pPr>
        <w:pStyle w:val="ListBullet2"/>
      </w:pPr>
      <w:r w:rsidRPr="00D14A24">
        <w:t>holding and storage equipment and related services</w:t>
      </w:r>
    </w:p>
    <w:p w:rsidR="00000000" w:rsidRPr="00D14A24" w:rsidP="00D14A24">
      <w:pPr>
        <w:pStyle w:val="ListBullet2"/>
      </w:pPr>
      <w:r w:rsidRPr="00D14A24">
        <w:t>olive oil for storage/containers</w:t>
      </w:r>
    </w:p>
    <w:p w:rsidR="00000000" w:rsidRPr="00D14A24" w:rsidP="00D14A24">
      <w:pPr>
        <w:pStyle w:val="ListBullet2"/>
      </w:pPr>
      <w:r w:rsidRPr="00D14A24">
        <w:t xml:space="preserve">sampling and </w:t>
      </w:r>
      <w:r w:rsidRPr="00D14A24">
        <w:t>testing equipment</w:t>
      </w:r>
    </w:p>
    <w:p w:rsidR="00000000" w:rsidRPr="00D14A24" w:rsidP="00D14A24">
      <w:pPr>
        <w:pStyle w:val="ListBullet"/>
      </w:pPr>
      <w:r w:rsidRPr="00D14A24">
        <w:t>specifications:</w:t>
      </w:r>
    </w:p>
    <w:p w:rsidR="00000000" w:rsidRPr="00D14A24" w:rsidP="00D14A24">
      <w:pPr>
        <w:pStyle w:val="ListBullet2"/>
      </w:pPr>
      <w:r w:rsidRPr="00D14A24">
        <w:t>work procedures, including advice on safe work practices, food safety, quality and environmental requirements</w:t>
      </w:r>
    </w:p>
    <w:p w:rsidR="00000000" w:rsidRPr="00D14A24" w:rsidP="00D14A24">
      <w:pPr>
        <w:pStyle w:val="ListBullet2"/>
      </w:pPr>
      <w:r w:rsidRPr="00D14A24">
        <w:t>product specifications, control points and processing parameters</w:t>
      </w:r>
    </w:p>
    <w:p w:rsidR="00000000" w:rsidRPr="00D14A24" w:rsidP="00D14A24">
      <w:pPr>
        <w:pStyle w:val="ListBullet2"/>
      </w:pPr>
      <w:r w:rsidRPr="00D14A24">
        <w:t>information on equipment capacity and operati</w:t>
      </w:r>
      <w:r w:rsidRPr="00D14A24">
        <w:t>ng parameters</w:t>
      </w:r>
    </w:p>
    <w:p w:rsidR="00000000" w:rsidRPr="00D14A24" w:rsidP="00D14A24">
      <w:pPr>
        <w:pStyle w:val="ListBullet2"/>
      </w:pPr>
      <w:r w:rsidRPr="00D14A24">
        <w:t xml:space="preserve">sampling schedules and test procedures production </w:t>
      </w:r>
    </w:p>
    <w:p w:rsidR="00000000" w:rsidRPr="00D14A24" w:rsidP="00D14A24">
      <w:pPr>
        <w:pStyle w:val="ListBullet2"/>
      </w:pPr>
      <w:r w:rsidRPr="00D14A24">
        <w:t>recording requirements and procedures.</w:t>
      </w:r>
    </w:p>
    <w:p w:rsidR="00000000" w:rsidRPr="00D14A24" w:rsidP="00173116">
      <w:pPr>
        <w:pStyle w:val="BodyText"/>
      </w:pPr>
      <w:r w:rsidRPr="00D14A24">
        <w:t>Assessors of this unit must satisfy th</w:t>
      </w:r>
      <w:r w:rsidRPr="00D14A24">
        <w:t>e requirements for assessors in applicable vocational education and training legislation, frameworks and/or standards.</w:t>
      </w:r>
    </w:p>
    <w:p w:rsidR="00000000" w:rsidRPr="00D14A24" w:rsidP="00D14A24">
      <w:pPr>
        <w:pStyle w:val="Heading1"/>
      </w:pPr>
      <w:bookmarkStart w:id="5" w:name="O_1183760"/>
      <w:bookmarkEnd w:id="5"/>
      <w:r w:rsidRPr="00D14A24">
        <w:t>Links</w:t>
      </w:r>
    </w:p>
    <w:p w:rsidR="00000000" w:rsidRPr="00D14A24" w:rsidP="00173116">
      <w:pPr>
        <w:pStyle w:val="BodyText"/>
      </w:pPr>
      <w:r w:rsidRPr="00D14A2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C7DB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14A24" w:rsidP="00D14A24"/>
    <w:sectPr w:rsidSect="00D14A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A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A24" w:rsidRPr="00173116" w:rsidP="001731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A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116" w:rsidP="00D14A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3116" w:rsidP="00D14A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73116" w:rsidP="00D14A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A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1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A24" w:rsidRPr="00173116" w:rsidP="001731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A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116" w:rsidRPr="002D2AF8" w:rsidP="00D14A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FBPOIL3012 Operate and monitor storage of virgin olive oil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173116" w:rsidP="00D14A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3889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E24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B61B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A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A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A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A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A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A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A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A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A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A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A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A24"/>
  </w:style>
  <w:style w:type="character" w:customStyle="1" w:styleId="Heading1Char">
    <w:name w:val="Heading 1 Char"/>
    <w:basedOn w:val="DefaultParagraphFont"/>
    <w:link w:val="Heading1"/>
    <w:rsid w:val="00D14A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A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A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4A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4A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4A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A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14A24"/>
    <w:rPr>
      <w:b/>
    </w:rPr>
  </w:style>
  <w:style w:type="character" w:customStyle="1" w:styleId="Heading2Char">
    <w:name w:val="Heading 2 Char"/>
    <w:basedOn w:val="DefaultParagraphFont"/>
    <w:link w:val="Heading2"/>
    <w:rsid w:val="00D14A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A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A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A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A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A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A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A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A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A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A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A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A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A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A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4A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4A24"/>
    <w:rPr>
      <w:b/>
      <w:spacing w:val="0"/>
    </w:rPr>
  </w:style>
  <w:style w:type="paragraph" w:customStyle="1" w:styleId="SuperTitle">
    <w:name w:val="SuperTitle"/>
    <w:basedOn w:val="Title"/>
    <w:rsid w:val="00D14A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A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A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4A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A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A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A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A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A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A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A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A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4A24"/>
    <w:rPr>
      <w:i/>
    </w:rPr>
  </w:style>
  <w:style w:type="paragraph" w:styleId="Caption">
    <w:name w:val="caption"/>
    <w:basedOn w:val="BodyText"/>
    <w:next w:val="Normal"/>
    <w:qFormat/>
    <w:rsid w:val="00D14A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A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A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A24"/>
  </w:style>
  <w:style w:type="paragraph" w:styleId="TableofFigures">
    <w:name w:val="table of figures"/>
    <w:basedOn w:val="Normal"/>
    <w:next w:val="Normal"/>
    <w:semiHidden/>
    <w:rsid w:val="00D14A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A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4A24"/>
    <w:rPr>
      <w:rFonts w:ascii="Wingdings" w:hAnsi="Wingdings"/>
    </w:rPr>
  </w:style>
  <w:style w:type="paragraph" w:customStyle="1" w:styleId="TableHeading">
    <w:name w:val="Table Heading"/>
    <w:basedOn w:val="HeadingBase"/>
    <w:rsid w:val="00D14A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A24"/>
    <w:rPr>
      <w:color w:val="0033CC"/>
      <w:u w:val="none"/>
    </w:rPr>
  </w:style>
  <w:style w:type="paragraph" w:customStyle="1" w:styleId="BodyTextRight">
    <w:name w:val="Body Text Right"/>
    <w:basedOn w:val="BodyText"/>
    <w:rsid w:val="00D14A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A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A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A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A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A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A24"/>
    <w:rPr>
      <w:sz w:val="32"/>
    </w:rPr>
  </w:style>
  <w:style w:type="paragraph" w:customStyle="1" w:styleId="HeadingProcedure">
    <w:name w:val="Heading Procedure"/>
    <w:basedOn w:val="HeadingBase"/>
    <w:next w:val="Normal"/>
    <w:rsid w:val="00D14A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A24"/>
    <w:pPr>
      <w:spacing w:before="60" w:after="60"/>
    </w:pPr>
  </w:style>
  <w:style w:type="paragraph" w:styleId="ListContinue">
    <w:name w:val="List Continue"/>
    <w:basedOn w:val="List"/>
    <w:rsid w:val="00D14A24"/>
    <w:pPr>
      <w:ind w:firstLine="0"/>
    </w:pPr>
  </w:style>
  <w:style w:type="paragraph" w:customStyle="1" w:styleId="ListNote">
    <w:name w:val="List Note"/>
    <w:basedOn w:val="List"/>
    <w:rsid w:val="00D14A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A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A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A24"/>
    <w:rPr>
      <w:rFonts w:ascii="Courier New" w:hAnsi="Courier New"/>
    </w:rPr>
  </w:style>
  <w:style w:type="paragraph" w:customStyle="1" w:styleId="NoteBullet">
    <w:name w:val="Note Bullet"/>
    <w:basedOn w:val="Note"/>
    <w:rsid w:val="00D14A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A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A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A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A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4A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A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A24"/>
    <w:rPr>
      <w:b/>
      <w:smallCaps/>
    </w:rPr>
  </w:style>
  <w:style w:type="paragraph" w:customStyle="1" w:styleId="TableListNumber">
    <w:name w:val="Table List Number"/>
    <w:basedOn w:val="ListNumber"/>
    <w:rsid w:val="00D14A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A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A24"/>
    <w:pPr>
      <w:numPr>
        <w:numId w:val="9"/>
      </w:numPr>
    </w:pPr>
  </w:style>
  <w:style w:type="paragraph" w:customStyle="1" w:styleId="ListAlpha2">
    <w:name w:val="List Alpha 2"/>
    <w:basedOn w:val="List2"/>
    <w:rsid w:val="00D14A24"/>
    <w:pPr>
      <w:numPr>
        <w:numId w:val="8"/>
      </w:numPr>
    </w:pPr>
  </w:style>
  <w:style w:type="paragraph" w:styleId="List2">
    <w:name w:val="List 2"/>
    <w:basedOn w:val="BodyText"/>
    <w:rsid w:val="00D14A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A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A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A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A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A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4A24"/>
    <w:pPr>
      <w:numPr>
        <w:numId w:val="4"/>
      </w:numPr>
    </w:pPr>
  </w:style>
  <w:style w:type="paragraph" w:styleId="ListContinue2">
    <w:name w:val="List Continue 2"/>
    <w:basedOn w:val="List2"/>
    <w:rsid w:val="00D14A24"/>
    <w:pPr>
      <w:ind w:firstLine="0"/>
    </w:pPr>
  </w:style>
  <w:style w:type="paragraph" w:styleId="ListContinue3">
    <w:name w:val="List Continue 3"/>
    <w:basedOn w:val="List3"/>
    <w:rsid w:val="00D14A24"/>
    <w:pPr>
      <w:ind w:left="1021" w:firstLine="0"/>
    </w:pPr>
  </w:style>
  <w:style w:type="paragraph" w:styleId="ListContinue4">
    <w:name w:val="List Continue 4"/>
    <w:basedOn w:val="List4"/>
    <w:rsid w:val="00D14A24"/>
    <w:pPr>
      <w:ind w:firstLine="0"/>
    </w:pPr>
  </w:style>
  <w:style w:type="paragraph" w:styleId="ListContinue5">
    <w:name w:val="List Continue 5"/>
    <w:basedOn w:val="List5"/>
    <w:rsid w:val="00D14A24"/>
    <w:pPr>
      <w:ind w:firstLine="0"/>
    </w:pPr>
  </w:style>
  <w:style w:type="paragraph" w:styleId="ListNumber3">
    <w:name w:val="List Number 3"/>
    <w:basedOn w:val="List3"/>
    <w:rsid w:val="00D14A24"/>
    <w:pPr>
      <w:numPr>
        <w:numId w:val="5"/>
      </w:numPr>
    </w:pPr>
  </w:style>
  <w:style w:type="paragraph" w:styleId="ListNumber4">
    <w:name w:val="List Number 4"/>
    <w:basedOn w:val="List4"/>
    <w:rsid w:val="00D14A24"/>
    <w:pPr>
      <w:numPr>
        <w:numId w:val="6"/>
      </w:numPr>
    </w:pPr>
  </w:style>
  <w:style w:type="paragraph" w:styleId="ListNumber5">
    <w:name w:val="List Number 5"/>
    <w:basedOn w:val="List5"/>
    <w:rsid w:val="00D14A24"/>
    <w:pPr>
      <w:numPr>
        <w:numId w:val="7"/>
      </w:numPr>
    </w:pPr>
  </w:style>
  <w:style w:type="paragraph" w:styleId="BlockText">
    <w:name w:val="Block Text"/>
    <w:basedOn w:val="Normal"/>
    <w:rsid w:val="00D14A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A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A24"/>
    <w:rPr>
      <w:sz w:val="16"/>
      <w:vertAlign w:val="superscript"/>
    </w:rPr>
  </w:style>
  <w:style w:type="character" w:customStyle="1" w:styleId="Symbols">
    <w:name w:val="Symbols"/>
    <w:basedOn w:val="DefaultParagraphFont"/>
    <w:rsid w:val="00D14A24"/>
    <w:rPr>
      <w:rFonts w:ascii="Symbol" w:hAnsi="Symbol"/>
    </w:rPr>
  </w:style>
  <w:style w:type="character" w:customStyle="1" w:styleId="MenuOptions">
    <w:name w:val="Menu Options"/>
    <w:basedOn w:val="DefaultParagraphFont"/>
    <w:rsid w:val="00D14A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A24"/>
    <w:rPr>
      <w:b/>
    </w:rPr>
  </w:style>
  <w:style w:type="character" w:customStyle="1" w:styleId="Underlined">
    <w:name w:val="Underlined"/>
    <w:basedOn w:val="DefaultParagraphFont"/>
    <w:rsid w:val="00D14A24"/>
    <w:rPr>
      <w:u w:val="single"/>
    </w:rPr>
  </w:style>
  <w:style w:type="paragraph" w:customStyle="1" w:styleId="TableBodyTextRight">
    <w:name w:val="Table Body Text Right"/>
    <w:basedOn w:val="TableBodyText"/>
    <w:rsid w:val="00D14A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A24"/>
    <w:rPr>
      <w:sz w:val="18"/>
    </w:rPr>
  </w:style>
  <w:style w:type="paragraph" w:customStyle="1" w:styleId="BodySmallRight">
    <w:name w:val="Body Small Right"/>
    <w:basedOn w:val="BodyTextRight"/>
    <w:rsid w:val="00D14A24"/>
    <w:rPr>
      <w:sz w:val="18"/>
      <w:szCs w:val="18"/>
    </w:rPr>
  </w:style>
  <w:style w:type="paragraph" w:customStyle="1" w:styleId="MarginEdition">
    <w:name w:val="Margin Edition"/>
    <w:basedOn w:val="MarginNote"/>
    <w:rsid w:val="00D14A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A24"/>
    <w:rPr>
      <w:sz w:val="2"/>
      <w:szCs w:val="2"/>
    </w:rPr>
  </w:style>
  <w:style w:type="character" w:customStyle="1" w:styleId="Small">
    <w:name w:val="Small"/>
    <w:basedOn w:val="DefaultParagraphFont"/>
    <w:rsid w:val="00D14A24"/>
    <w:rPr>
      <w:sz w:val="16"/>
    </w:rPr>
  </w:style>
  <w:style w:type="paragraph" w:customStyle="1" w:styleId="WideTable">
    <w:name w:val="Wide Table"/>
    <w:basedOn w:val="Normal"/>
    <w:rsid w:val="00D14A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A24"/>
  </w:style>
  <w:style w:type="paragraph" w:styleId="Quote">
    <w:name w:val="Quote"/>
    <w:basedOn w:val="Heading1"/>
    <w:link w:val="QuoteChar"/>
    <w:qFormat/>
    <w:rsid w:val="00D14A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A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A24"/>
    <w:pPr>
      <w:pageBreakBefore/>
    </w:pPr>
  </w:style>
  <w:style w:type="paragraph" w:customStyle="1" w:styleId="Border">
    <w:name w:val="Border"/>
    <w:basedOn w:val="Normal"/>
    <w:qFormat/>
    <w:rsid w:val="00D14A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A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A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A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A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A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A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A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A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A24"/>
    <w:rPr>
      <w:u w:val="single"/>
    </w:rPr>
  </w:style>
  <w:style w:type="character" w:customStyle="1" w:styleId="BoldandItalics">
    <w:name w:val="Bold and Italics"/>
    <w:qFormat/>
    <w:rsid w:val="00D14A24"/>
    <w:rPr>
      <w:b/>
      <w:i/>
      <w:u w:val="none"/>
    </w:rPr>
  </w:style>
  <w:style w:type="paragraph" w:styleId="BalloonText">
    <w:name w:val="Balloon Text"/>
    <w:basedOn w:val="Normal"/>
    <w:link w:val="BalloonTextChar"/>
    <w:rsid w:val="00D14A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A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A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A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A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A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A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31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4359</Characters>
  <Application>Microsoft Office Word</Application>
  <DocSecurity>0</DocSecurity>
  <Lines>111</Lines>
  <Paragraphs>90</Paragraphs>
  <ScaleCrop>false</ScaleCrop>
  <Company>Author-it Software Corporation Ltd.</Company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FBPOIL3012 Operate and monitor storage of virgin olive oil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2023-01-25T14:56:00Z</dcterms:created>
  <dcterms:modified xsi:type="dcterms:W3CDTF">2023-01-25T14:56:00Z</dcterms:modified>
</cp:coreProperties>
</file>