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0855" w:rsidP="00BA08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FBPOIL3010 Operate and monitor a malaxer</w:t>
      </w:r>
      <w:r>
        <w:fldChar w:fldCharType="end"/>
      </w:r>
    </w:p>
    <w:p w:rsidR="00BA0855" w:rsidP="00BA0855">
      <w:pPr>
        <w:pStyle w:val="Version"/>
        <w:sectPr w:rsidSect="00E022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2294" w:rsidP="00E02294">
      <w:pPr>
        <w:pStyle w:val="SuperHeading"/>
      </w:pPr>
      <w:r w:rsidRPr="00E02294">
        <w:t>FBPOIL3010 Operate and monitor a malaxer</w:t>
      </w:r>
    </w:p>
    <w:p w:rsidR="00000000" w:rsidRPr="00E02294" w:rsidP="00E02294">
      <w:pPr>
        <w:pStyle w:val="Heading1"/>
      </w:pPr>
      <w:bookmarkStart w:id="1" w:name="O_1183706"/>
      <w:bookmarkEnd w:id="1"/>
      <w:r w:rsidRPr="00E022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2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94">
            <w:pPr>
              <w:pStyle w:val="BodyTextBold"/>
              <w:rPr>
                <w:lang w:val="en-NZ"/>
              </w:rPr>
            </w:pPr>
            <w:r w:rsidRPr="00E0229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94">
            <w:pPr>
              <w:pStyle w:val="BodyTextBold"/>
              <w:rPr>
                <w:lang w:val="en-NZ"/>
              </w:rPr>
            </w:pPr>
            <w:r w:rsidRPr="00E02294">
              <w:t>Comments</w:t>
            </w:r>
          </w:p>
        </w:tc>
      </w:tr>
      <w:tr w:rsidTr="00E02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94">
            <w:pPr>
              <w:pStyle w:val="BodyText"/>
              <w:rPr>
                <w:lang w:val="en-NZ"/>
              </w:rPr>
            </w:pPr>
            <w:r w:rsidRPr="00E0229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294" w:rsidP="00E02294">
            <w:pPr>
              <w:pStyle w:val="BodyText"/>
            </w:pPr>
            <w:r w:rsidRPr="00E02294">
              <w:t>This version released with FBP Food, Beverage and Pharmaceutical Training Package Version 6.0.</w:t>
            </w:r>
          </w:p>
        </w:tc>
      </w:tr>
    </w:tbl>
    <w:p w:rsidR="00000000" w:rsidRPr="00E02294" w:rsidP="00E02294">
      <w:pPr>
        <w:pStyle w:val="BodyText"/>
      </w:pPr>
    </w:p>
    <w:p w:rsidR="00000000" w:rsidRPr="00E02294" w:rsidP="00E02294">
      <w:pPr>
        <w:pStyle w:val="AllowPageBreak"/>
      </w:pPr>
    </w:p>
    <w:p w:rsidR="00000000" w:rsidRPr="00E02294" w:rsidP="00E02294">
      <w:pPr>
        <w:pStyle w:val="Heading1"/>
      </w:pPr>
      <w:bookmarkStart w:id="2" w:name="O_1183707"/>
      <w:bookmarkEnd w:id="2"/>
      <w:r w:rsidRPr="00E02294">
        <w:t>Application</w:t>
      </w:r>
    </w:p>
    <w:p w:rsidR="00000000" w:rsidRPr="00E02294" w:rsidP="00BA0855">
      <w:pPr>
        <w:pStyle w:val="BodyText"/>
      </w:pPr>
      <w:r w:rsidRPr="00E02294">
        <w:t xml:space="preserve">This unit of competency describes the skills and knowledge required to set up, </w:t>
      </w:r>
      <w:r w:rsidRPr="00E02294">
        <w:t xml:space="preserve">operate, monitor, adjust and shut down a malaxer, used to process crushed olives and release oil from olive paste. </w:t>
      </w:r>
    </w:p>
    <w:p w:rsidR="00000000" w:rsidRPr="00E02294" w:rsidP="00BA0855">
      <w:pPr>
        <w:pStyle w:val="BodyText"/>
      </w:pPr>
      <w:r w:rsidRPr="00E02294">
        <w:t xml:space="preserve">This unit applies to individuals who work in an olive oil processing environment. It typically applies to the production worker responsible </w:t>
      </w:r>
      <w:r w:rsidRPr="00E02294">
        <w:t>for applying basic operating principles to the operation and monitoring of a malaxer and associated equipment.</w:t>
      </w:r>
    </w:p>
    <w:p w:rsidR="00000000" w:rsidRPr="00E02294" w:rsidP="00BA0855">
      <w:pPr>
        <w:pStyle w:val="BodyText"/>
      </w:pPr>
      <w:r w:rsidRPr="00E02294">
        <w:t>All work must be carried out to comply with workplace procedures, in accordance with state/territory food safety and work health and safety regul</w:t>
      </w:r>
      <w:r w:rsidRPr="00E02294">
        <w:t>ations and legislation that apply to the workplace.</w:t>
      </w:r>
    </w:p>
    <w:p w:rsidR="00000000" w:rsidRPr="00E02294" w:rsidP="00BA0855">
      <w:pPr>
        <w:pStyle w:val="BodyText"/>
      </w:pPr>
      <w:r w:rsidRPr="00E02294">
        <w:t>No licensing, legislative or certification requirements apply to this unit at the time of publication.</w:t>
      </w:r>
    </w:p>
    <w:p w:rsidR="00000000" w:rsidRPr="00E02294" w:rsidP="00E02294">
      <w:pPr>
        <w:pStyle w:val="Heading1"/>
      </w:pPr>
      <w:bookmarkStart w:id="3" w:name="O_1183708"/>
      <w:bookmarkEnd w:id="3"/>
      <w:r w:rsidRPr="00E02294">
        <w:t>Pre-requisite Unit</w:t>
      </w:r>
    </w:p>
    <w:p w:rsidR="00000000" w:rsidRPr="00E02294" w:rsidP="00BA0855">
      <w:pPr>
        <w:pStyle w:val="BodyText"/>
      </w:pPr>
      <w:r w:rsidRPr="00E02294">
        <w:t>Nil</w:t>
      </w:r>
    </w:p>
    <w:p w:rsidR="00000000" w:rsidRPr="00E02294" w:rsidP="00E02294">
      <w:pPr>
        <w:pStyle w:val="Heading1"/>
      </w:pPr>
      <w:bookmarkStart w:id="4" w:name="O_1183710"/>
      <w:bookmarkEnd w:id="4"/>
      <w:r w:rsidRPr="00E02294">
        <w:t>Unit Sector</w:t>
      </w:r>
    </w:p>
    <w:p w:rsidR="00000000" w:rsidRPr="00E02294" w:rsidP="00BA0855">
      <w:pPr>
        <w:pStyle w:val="BodyText"/>
      </w:pPr>
      <w:r w:rsidRPr="00E02294">
        <w:t>Edible Oils (OIL)</w:t>
      </w:r>
    </w:p>
    <w:p w:rsidR="00000000" w:rsidRPr="00E02294" w:rsidP="00E02294">
      <w:pPr>
        <w:pStyle w:val="Heading1"/>
      </w:pPr>
      <w:bookmarkStart w:id="5" w:name="O_1183711"/>
      <w:bookmarkEnd w:id="5"/>
      <w:r w:rsidRPr="00E0229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0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94">
            <w:pPr>
              <w:pStyle w:val="BodyTextBold"/>
              <w:rPr>
                <w:lang w:val="en-NZ"/>
              </w:rPr>
            </w:pPr>
            <w:r w:rsidRPr="00E0229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94">
            <w:pPr>
              <w:pStyle w:val="BodyTextBold"/>
              <w:rPr>
                <w:lang w:val="en-NZ"/>
              </w:rPr>
            </w:pPr>
            <w:r w:rsidRPr="00E02294">
              <w:t>Performance Criteria</w:t>
            </w:r>
          </w:p>
        </w:tc>
      </w:tr>
      <w:tr w:rsidTr="00BA0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294" w:rsidP="00E02294">
            <w:pPr>
              <w:pStyle w:val="BodyText"/>
            </w:pPr>
            <w:r w:rsidRPr="00E0229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94">
            <w:pPr>
              <w:pStyle w:val="BodyText"/>
              <w:rPr>
                <w:lang w:val="en-NZ"/>
              </w:rPr>
            </w:pPr>
            <w:r w:rsidRPr="00E022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0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94">
            <w:pPr>
              <w:pStyle w:val="BodyText"/>
              <w:rPr>
                <w:lang w:val="en-NZ"/>
              </w:rPr>
            </w:pPr>
            <w:r w:rsidRPr="00E02294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294" w:rsidP="00E02294">
            <w:pPr>
              <w:pStyle w:val="BodyText"/>
            </w:pPr>
            <w:r w:rsidRPr="00E02294">
              <w:t xml:space="preserve">1.1 </w:t>
            </w:r>
            <w:r w:rsidRPr="00E02294">
              <w:t>Confirm olive mill paste is available to meet production requirements</w:t>
            </w:r>
          </w:p>
          <w:p w:rsidR="00000000" w:rsidRPr="00E02294" w:rsidP="00E02294">
            <w:pPr>
              <w:pStyle w:val="BodyText"/>
            </w:pPr>
            <w:r w:rsidRPr="00E02294">
              <w:t xml:space="preserve">1.2 Wear appropriate personal protective clothing, and ensure correct </w:t>
            </w:r>
            <w:r w:rsidRPr="00E02294">
              <w:t>fit according to health, safety and food safety requirements</w:t>
            </w:r>
          </w:p>
          <w:p w:rsidR="00000000" w:rsidP="00E02294">
            <w:pPr>
              <w:pStyle w:val="BodyText"/>
              <w:rPr>
                <w:lang w:val="en-NZ"/>
              </w:rPr>
            </w:pPr>
            <w:r w:rsidRPr="00E02294">
              <w:t>1.3 Identify and confirm equipment is clean and not loc</w:t>
            </w:r>
            <w:r w:rsidRPr="00E02294">
              <w:t>ked out</w:t>
            </w:r>
          </w:p>
        </w:tc>
      </w:tr>
      <w:tr w:rsidTr="00BA0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94">
            <w:pPr>
              <w:pStyle w:val="BodyText"/>
              <w:rPr>
                <w:lang w:val="en-NZ"/>
              </w:rPr>
            </w:pPr>
            <w:r w:rsidRPr="00E02294">
              <w:t>2. Prepare the malaxer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294" w:rsidP="00E02294">
            <w:pPr>
              <w:pStyle w:val="BodyText"/>
            </w:pPr>
            <w:r w:rsidRPr="00E02294">
              <w:t>2.1 Fit machine components and related attachments, and adjust to meet operating requirements</w:t>
            </w:r>
          </w:p>
          <w:p w:rsidR="00000000" w:rsidRPr="00E02294" w:rsidP="00E02294">
            <w:pPr>
              <w:pStyle w:val="BodyText"/>
            </w:pPr>
            <w:r w:rsidRPr="00E02294">
              <w:t>2.2 Enter processing or operating parameters to meet production requirements</w:t>
            </w:r>
          </w:p>
          <w:p w:rsidR="00000000" w:rsidRPr="00E02294" w:rsidP="00E02294">
            <w:pPr>
              <w:pStyle w:val="BodyText"/>
            </w:pPr>
            <w:r w:rsidRPr="00E02294">
              <w:t>2.3 Perform pre-start checks according to operator instructions</w:t>
            </w:r>
          </w:p>
          <w:p w:rsidR="00000000" w:rsidP="00E02294">
            <w:pPr>
              <w:pStyle w:val="BodyText"/>
              <w:rPr>
                <w:lang w:val="en-NZ"/>
              </w:rPr>
            </w:pPr>
            <w:r w:rsidRPr="00E02294">
              <w:t>2.4 Ensure malaxer is at appropriate temperature prior to adding paste</w:t>
            </w:r>
          </w:p>
        </w:tc>
      </w:tr>
      <w:tr w:rsidTr="00BA0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94">
            <w:pPr>
              <w:pStyle w:val="BodyText"/>
              <w:rPr>
                <w:lang w:val="en-NZ"/>
              </w:rPr>
            </w:pPr>
            <w:r w:rsidRPr="00E02294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294" w:rsidP="00E02294">
            <w:pPr>
              <w:pStyle w:val="BodyText"/>
            </w:pPr>
            <w:r w:rsidRPr="00E02294">
              <w:t>3.1 Deliver olive paste to malaxer in required quantities to meet recipe specifications</w:t>
            </w:r>
          </w:p>
          <w:p w:rsidR="00000000" w:rsidRPr="00E02294" w:rsidP="00E02294">
            <w:pPr>
              <w:pStyle w:val="BodyText"/>
            </w:pPr>
            <w:r w:rsidRPr="00E02294">
              <w:t>3.2 Start, operate and monitor process to ensure optimal operations</w:t>
            </w:r>
          </w:p>
          <w:p w:rsidR="00000000" w:rsidRPr="00E02294" w:rsidP="00E02294">
            <w:pPr>
              <w:pStyle w:val="BodyText"/>
            </w:pPr>
            <w:r w:rsidRPr="00E02294">
              <w:t xml:space="preserve">3.3 Monitor temperature of agitation process to ensure it is kept within 25–30°C, and paste consistency meets specifications </w:t>
            </w:r>
          </w:p>
          <w:p w:rsidR="00000000" w:rsidRPr="00E02294" w:rsidP="00E02294">
            <w:pPr>
              <w:pStyle w:val="BodyText"/>
            </w:pPr>
            <w:r w:rsidRPr="00E02294">
              <w:t>3.4 Keep malaxation times within 75 minutes to allow for a st</w:t>
            </w:r>
            <w:r w:rsidRPr="00E02294">
              <w:t xml:space="preserve">eady kneading of paste and a slow release of the oil </w:t>
            </w:r>
          </w:p>
          <w:p w:rsidR="00000000" w:rsidRPr="00E02294" w:rsidP="00E02294">
            <w:pPr>
              <w:pStyle w:val="BodyText"/>
            </w:pPr>
            <w:r w:rsidRPr="00E02294">
              <w:t>3.5 Add water, talc and/or approved enzymes as required to assist malaxing process</w:t>
            </w:r>
          </w:p>
          <w:p w:rsidR="00000000" w:rsidRPr="00E02294" w:rsidP="00E02294">
            <w:pPr>
              <w:pStyle w:val="BodyText"/>
            </w:pPr>
            <w:r w:rsidRPr="00E02294">
              <w:t>3.6 Identify, adjust and report out-of-specification equipment and/or issues with emulsified paste according to workpla</w:t>
            </w:r>
            <w:r w:rsidRPr="00E02294">
              <w:t>ce requirements</w:t>
            </w:r>
          </w:p>
          <w:p w:rsidR="00000000" w:rsidP="00E02294">
            <w:pPr>
              <w:pStyle w:val="BodyText"/>
              <w:rPr>
                <w:lang w:val="en-NZ"/>
              </w:rPr>
            </w:pPr>
            <w:r w:rsidRPr="00E02294">
              <w:t>3.7 Maintain records of malaxing process according to workplace procedures</w:t>
            </w:r>
          </w:p>
        </w:tc>
      </w:tr>
      <w:tr w:rsidTr="00BA0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94">
            <w:pPr>
              <w:pStyle w:val="BodyText"/>
              <w:rPr>
                <w:lang w:val="en-NZ"/>
              </w:rPr>
            </w:pPr>
            <w:r w:rsidRPr="00E02294">
              <w:t>4. Shut down the malaxer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294" w:rsidP="00E02294">
            <w:pPr>
              <w:pStyle w:val="BodyText"/>
            </w:pPr>
            <w:r w:rsidRPr="00E02294">
              <w:t>4.1 Identify appropriate shutdown procedure</w:t>
            </w:r>
          </w:p>
          <w:p w:rsidR="00000000" w:rsidRPr="00E02294" w:rsidP="00E02294">
            <w:pPr>
              <w:pStyle w:val="BodyText"/>
            </w:pPr>
            <w:r w:rsidRPr="00E02294">
              <w:t>4.2 Shut down process safely according to operating procedures</w:t>
            </w:r>
          </w:p>
          <w:p w:rsidR="00000000" w:rsidRPr="00E02294" w:rsidP="00E02294">
            <w:pPr>
              <w:pStyle w:val="BodyText"/>
            </w:pPr>
            <w:r w:rsidRPr="00E02294">
              <w:t>4.3 Apply workplace cleaning pro</w:t>
            </w:r>
            <w:r w:rsidRPr="00E02294">
              <w:t xml:space="preserve">cedures and dispose of waste according to environmental requirements </w:t>
            </w:r>
          </w:p>
          <w:p w:rsidR="00000000" w:rsidRPr="00E02294" w:rsidP="00E02294">
            <w:pPr>
              <w:pStyle w:val="BodyText"/>
            </w:pPr>
            <w:r w:rsidRPr="00E02294">
              <w:t xml:space="preserve">4.4 Identify and report maintenance requirements </w:t>
            </w:r>
          </w:p>
        </w:tc>
      </w:tr>
    </w:tbl>
    <w:p w:rsidR="00000000" w:rsidRPr="00E02294" w:rsidP="00E02294">
      <w:pPr>
        <w:pStyle w:val="BodyText"/>
      </w:pPr>
    </w:p>
    <w:p w:rsidR="00000000" w:rsidRPr="00E02294" w:rsidP="00E02294">
      <w:pPr>
        <w:pStyle w:val="AllowPageBreak"/>
      </w:pPr>
    </w:p>
    <w:p w:rsidR="00000000" w:rsidRPr="00E02294" w:rsidP="00E02294">
      <w:pPr>
        <w:pStyle w:val="Heading1"/>
      </w:pPr>
      <w:bookmarkStart w:id="6" w:name="O_1183712"/>
      <w:bookmarkEnd w:id="6"/>
      <w:r w:rsidRPr="00E02294">
        <w:t>Foundation Skills</w:t>
      </w:r>
    </w:p>
    <w:p w:rsidR="00000000" w:rsidRPr="00BA0855" w:rsidP="00BA0855">
      <w:pPr>
        <w:pStyle w:val="BodyText"/>
        <w:rPr>
          <w:i/>
        </w:rPr>
      </w:pPr>
      <w:r w:rsidRPr="00BA085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2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94">
            <w:pPr>
              <w:pStyle w:val="BodyTextBold"/>
              <w:rPr>
                <w:lang w:val="en-NZ"/>
              </w:rPr>
            </w:pPr>
            <w:r w:rsidRPr="00E0229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94">
            <w:pPr>
              <w:pStyle w:val="BodyTextBold"/>
              <w:rPr>
                <w:lang w:val="en-NZ"/>
              </w:rPr>
            </w:pPr>
            <w:r w:rsidRPr="00E02294">
              <w:t>Description</w:t>
            </w:r>
          </w:p>
        </w:tc>
      </w:tr>
      <w:tr w:rsidTr="00E02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94">
            <w:pPr>
              <w:pStyle w:val="BodyText"/>
              <w:rPr>
                <w:lang w:val="en-NZ"/>
              </w:rPr>
            </w:pPr>
            <w:r w:rsidRPr="00E02294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94">
            <w:pPr>
              <w:pStyle w:val="ListBullet"/>
              <w:rPr>
                <w:lang w:val="en-NZ"/>
              </w:rPr>
            </w:pPr>
            <w:r w:rsidRPr="00E02294">
              <w:t>Problem-solve issues with process t</w:t>
            </w:r>
            <w:r w:rsidRPr="00E02294">
              <w:t>o ensure quality outcomes</w:t>
            </w:r>
          </w:p>
        </w:tc>
      </w:tr>
      <w:tr w:rsidTr="00E02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94">
            <w:pPr>
              <w:pStyle w:val="BodyText"/>
              <w:rPr>
                <w:lang w:val="en-NZ"/>
              </w:rPr>
            </w:pPr>
            <w:r w:rsidRPr="00E0229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294" w:rsidP="00E02294">
            <w:pPr>
              <w:pStyle w:val="ListBullet"/>
            </w:pPr>
            <w:r w:rsidRPr="00E02294">
              <w:t>Interpret workplace and standard operating procedures relevant to work task</w:t>
            </w:r>
          </w:p>
          <w:p w:rsidR="00000000" w:rsidP="00E02294">
            <w:pPr>
              <w:pStyle w:val="ListBullet"/>
              <w:rPr>
                <w:lang w:val="en-NZ"/>
              </w:rPr>
            </w:pPr>
            <w:r w:rsidRPr="00E02294">
              <w:t>Interpret production requirements</w:t>
            </w:r>
          </w:p>
        </w:tc>
      </w:tr>
      <w:tr w:rsidTr="00E02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94">
            <w:pPr>
              <w:pStyle w:val="BodyText"/>
              <w:rPr>
                <w:lang w:val="en-NZ"/>
              </w:rPr>
            </w:pPr>
            <w:r w:rsidRPr="00E0229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94">
            <w:pPr>
              <w:pStyle w:val="ListBullet"/>
              <w:rPr>
                <w:lang w:val="en-NZ"/>
              </w:rPr>
            </w:pPr>
            <w:r w:rsidRPr="00E02294">
              <w:t>Record batch processing data using digital and/or paper-based formats</w:t>
            </w:r>
          </w:p>
        </w:tc>
      </w:tr>
      <w:tr w:rsidTr="00E02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94">
            <w:pPr>
              <w:pStyle w:val="BodyText"/>
              <w:rPr>
                <w:lang w:val="en-NZ"/>
              </w:rPr>
            </w:pPr>
            <w:r w:rsidRPr="00E0229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294" w:rsidP="00E02294">
            <w:pPr>
              <w:pStyle w:val="ListBullet"/>
            </w:pPr>
            <w:r w:rsidRPr="00E02294">
              <w:t>Weigh ingredients (mg, g, kg)</w:t>
            </w:r>
          </w:p>
          <w:p w:rsidR="00000000" w:rsidRPr="00E02294" w:rsidP="00E02294">
            <w:pPr>
              <w:pStyle w:val="ListBullet"/>
            </w:pPr>
            <w:r w:rsidRPr="00E02294">
              <w:t>Monitor and interpret production and process control indicators and data, including temperature of paste (</w:t>
            </w:r>
            <w:r w:rsidRPr="00E02294">
              <w:rPr>
                <w:rStyle w:val="Symbols"/>
              </w:rPr>
              <w:t></w:t>
            </w:r>
            <w:r w:rsidRPr="00E02294">
              <w:t>C)</w:t>
            </w:r>
          </w:p>
          <w:p w:rsidR="00000000" w:rsidRPr="00E02294" w:rsidP="00E02294">
            <w:pPr>
              <w:pStyle w:val="ListBullet"/>
            </w:pPr>
            <w:r w:rsidRPr="00E02294">
              <w:t>Monitor supply and flow of materials to and from the process</w:t>
            </w:r>
          </w:p>
          <w:p w:rsidR="00000000" w:rsidRPr="00E02294" w:rsidP="00E02294">
            <w:pPr>
              <w:pStyle w:val="ListBullet"/>
            </w:pPr>
            <w:r w:rsidRPr="00E02294">
              <w:t>Calculate malaxation time: Malaxation time (batch) = (f</w:t>
            </w:r>
            <w:r w:rsidRPr="00E02294">
              <w:t>illing time/2) + malaxer full time + (emptying time/2)</w:t>
            </w:r>
          </w:p>
        </w:tc>
      </w:tr>
    </w:tbl>
    <w:p w:rsidR="00000000" w:rsidRPr="00E02294" w:rsidP="00E02294">
      <w:pPr>
        <w:pStyle w:val="BodyText"/>
      </w:pPr>
    </w:p>
    <w:p w:rsidR="00000000" w:rsidRPr="00E02294" w:rsidP="00E02294">
      <w:pPr>
        <w:pStyle w:val="AllowPageBreak"/>
      </w:pPr>
    </w:p>
    <w:p w:rsidR="00000000" w:rsidRPr="00E02294" w:rsidP="00E02294">
      <w:pPr>
        <w:pStyle w:val="Heading1"/>
      </w:pPr>
      <w:bookmarkStart w:id="7" w:name="O_1183714"/>
      <w:bookmarkEnd w:id="7"/>
      <w:r w:rsidRPr="00E0229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02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94">
            <w:pPr>
              <w:pStyle w:val="BodyTextBold"/>
              <w:rPr>
                <w:lang w:val="en-NZ"/>
              </w:rPr>
            </w:pPr>
            <w:r w:rsidRPr="00E0229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94">
            <w:pPr>
              <w:pStyle w:val="BodyTextBold"/>
              <w:rPr>
                <w:lang w:val="en-NZ"/>
              </w:rPr>
            </w:pPr>
            <w:r w:rsidRPr="00E0229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94">
            <w:pPr>
              <w:pStyle w:val="BodyTextBold"/>
              <w:rPr>
                <w:lang w:val="en-NZ"/>
              </w:rPr>
            </w:pPr>
            <w:r w:rsidRPr="00E0229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94">
            <w:pPr>
              <w:pStyle w:val="BodyTextBold"/>
              <w:rPr>
                <w:lang w:val="en-NZ"/>
              </w:rPr>
            </w:pPr>
            <w:r w:rsidRPr="00E02294">
              <w:t>Equivalence status</w:t>
            </w:r>
          </w:p>
        </w:tc>
      </w:tr>
      <w:tr w:rsidTr="00E022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94">
            <w:pPr>
              <w:pStyle w:val="BodyText"/>
              <w:rPr>
                <w:lang w:val="en-NZ"/>
              </w:rPr>
            </w:pPr>
            <w:r w:rsidRPr="00E02294">
              <w:t>FBPOIL3010 Operate and monitor a malaxer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94">
            <w:pPr>
              <w:pStyle w:val="BodyText"/>
              <w:rPr>
                <w:lang w:val="en-NZ"/>
              </w:rPr>
            </w:pPr>
            <w:r w:rsidRPr="00E02294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2294">
            <w:pPr>
              <w:pStyle w:val="BodyText"/>
              <w:rPr>
                <w:lang w:val="en-NZ"/>
              </w:rPr>
            </w:pPr>
            <w:r w:rsidRPr="00E02294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2294" w:rsidP="00E02294">
            <w:pPr>
              <w:pStyle w:val="BodyText"/>
            </w:pPr>
            <w:r w:rsidRPr="00E02294">
              <w:t>Newly created</w:t>
            </w:r>
          </w:p>
          <w:p w:rsidR="00000000" w:rsidRPr="00E02294" w:rsidP="00E02294">
            <w:pPr>
              <w:pStyle w:val="BodyText"/>
            </w:pPr>
          </w:p>
        </w:tc>
      </w:tr>
    </w:tbl>
    <w:p w:rsidR="00000000" w:rsidRPr="00E02294" w:rsidP="00E02294">
      <w:pPr>
        <w:pStyle w:val="BodyText"/>
      </w:pPr>
    </w:p>
    <w:p w:rsidR="00000000" w:rsidRPr="00E02294" w:rsidP="00E02294">
      <w:pPr>
        <w:pStyle w:val="AllowPageBreak"/>
      </w:pPr>
    </w:p>
    <w:p w:rsidR="00000000" w:rsidRPr="00E02294" w:rsidP="00E02294">
      <w:pPr>
        <w:pStyle w:val="Heading1"/>
      </w:pPr>
      <w:bookmarkStart w:id="8" w:name="O_1183721"/>
      <w:bookmarkEnd w:id="8"/>
      <w:r w:rsidRPr="00E02294">
        <w:t>Links</w:t>
      </w:r>
    </w:p>
    <w:p w:rsidR="00000000" w:rsidRPr="00E02294" w:rsidP="00BA0855">
      <w:pPr>
        <w:pStyle w:val="BodyText"/>
      </w:pPr>
      <w:r w:rsidRPr="00E022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6323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02294" w:rsidP="00E02294"/>
    <w:sectPr w:rsidSect="00E022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2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294" w:rsidRPr="00BA0855" w:rsidP="00BA08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2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855" w:rsidP="00E022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0855" w:rsidP="00E022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A0855" w:rsidP="00E022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2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8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2294" w:rsidRPr="00BA0855" w:rsidP="00BA08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2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855" w:rsidRPr="002D2AF8" w:rsidP="00E022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FBPOIL3010 Operate and monitor a malaxer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BA0855" w:rsidP="00E022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2E13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68A8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2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22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22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22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22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22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22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22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22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22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22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2294"/>
  </w:style>
  <w:style w:type="character" w:customStyle="1" w:styleId="Heading1Char">
    <w:name w:val="Heading 1 Char"/>
    <w:basedOn w:val="DefaultParagraphFont"/>
    <w:link w:val="Heading1"/>
    <w:rsid w:val="00E022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22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22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229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02294"/>
    <w:rPr>
      <w:i/>
    </w:rPr>
  </w:style>
  <w:style w:type="paragraph" w:customStyle="1" w:styleId="SuperHeading">
    <w:name w:val="SuperHeading"/>
    <w:basedOn w:val="Normal"/>
    <w:rsid w:val="00E022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22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E02294"/>
    <w:rPr>
      <w:rFonts w:ascii="Symbol" w:hAnsi="Symbol"/>
    </w:rPr>
  </w:style>
  <w:style w:type="paragraph" w:customStyle="1" w:styleId="BodyTextBold">
    <w:name w:val="Body Text Bold"/>
    <w:basedOn w:val="BodyText"/>
    <w:qFormat/>
    <w:rsid w:val="00E02294"/>
    <w:rPr>
      <w:b/>
    </w:rPr>
  </w:style>
  <w:style w:type="character" w:customStyle="1" w:styleId="Heading2Char">
    <w:name w:val="Heading 2 Char"/>
    <w:basedOn w:val="DefaultParagraphFont"/>
    <w:link w:val="Heading2"/>
    <w:rsid w:val="00E022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22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22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2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2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2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22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22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22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22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22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22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22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22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22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22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22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22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22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22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2294"/>
    <w:rPr>
      <w:b/>
      <w:spacing w:val="0"/>
    </w:rPr>
  </w:style>
  <w:style w:type="paragraph" w:customStyle="1" w:styleId="SuperTitle">
    <w:name w:val="SuperTitle"/>
    <w:basedOn w:val="Title"/>
    <w:rsid w:val="00E022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22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22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22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22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22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22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22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22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22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22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22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22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22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22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22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2294"/>
  </w:style>
  <w:style w:type="paragraph" w:styleId="TableofFigures">
    <w:name w:val="table of figures"/>
    <w:basedOn w:val="Normal"/>
    <w:next w:val="Normal"/>
    <w:semiHidden/>
    <w:rsid w:val="00E022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22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2294"/>
    <w:rPr>
      <w:rFonts w:ascii="Wingdings" w:hAnsi="Wingdings"/>
    </w:rPr>
  </w:style>
  <w:style w:type="paragraph" w:customStyle="1" w:styleId="TableHeading">
    <w:name w:val="Table Heading"/>
    <w:basedOn w:val="HeadingBase"/>
    <w:rsid w:val="00E022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2294"/>
    <w:rPr>
      <w:color w:val="0033CC"/>
      <w:u w:val="none"/>
    </w:rPr>
  </w:style>
  <w:style w:type="paragraph" w:customStyle="1" w:styleId="BodyTextRight">
    <w:name w:val="Body Text Right"/>
    <w:basedOn w:val="BodyText"/>
    <w:rsid w:val="00E022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22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22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22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22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22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2294"/>
    <w:rPr>
      <w:sz w:val="32"/>
    </w:rPr>
  </w:style>
  <w:style w:type="paragraph" w:customStyle="1" w:styleId="HeadingProcedure">
    <w:name w:val="Heading Procedure"/>
    <w:basedOn w:val="HeadingBase"/>
    <w:next w:val="Normal"/>
    <w:rsid w:val="00E022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2294"/>
    <w:pPr>
      <w:spacing w:before="60" w:after="60"/>
    </w:pPr>
  </w:style>
  <w:style w:type="paragraph" w:styleId="ListContinue">
    <w:name w:val="List Continue"/>
    <w:basedOn w:val="List"/>
    <w:rsid w:val="00E02294"/>
    <w:pPr>
      <w:ind w:firstLine="0"/>
    </w:pPr>
  </w:style>
  <w:style w:type="paragraph" w:customStyle="1" w:styleId="ListNote">
    <w:name w:val="List Note"/>
    <w:basedOn w:val="List"/>
    <w:rsid w:val="00E022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22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22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2294"/>
    <w:rPr>
      <w:rFonts w:ascii="Courier New" w:hAnsi="Courier New"/>
    </w:rPr>
  </w:style>
  <w:style w:type="paragraph" w:customStyle="1" w:styleId="NoteBullet">
    <w:name w:val="Note Bullet"/>
    <w:basedOn w:val="Note"/>
    <w:rsid w:val="00E022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22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22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22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22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22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22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2294"/>
    <w:rPr>
      <w:b/>
      <w:smallCaps/>
    </w:rPr>
  </w:style>
  <w:style w:type="paragraph" w:customStyle="1" w:styleId="TableListNumber">
    <w:name w:val="Table List Number"/>
    <w:basedOn w:val="ListNumber"/>
    <w:rsid w:val="00E022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22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2294"/>
    <w:pPr>
      <w:numPr>
        <w:numId w:val="8"/>
      </w:numPr>
    </w:pPr>
  </w:style>
  <w:style w:type="paragraph" w:customStyle="1" w:styleId="ListAlpha2">
    <w:name w:val="List Alpha 2"/>
    <w:basedOn w:val="List2"/>
    <w:rsid w:val="00E02294"/>
    <w:pPr>
      <w:numPr>
        <w:numId w:val="7"/>
      </w:numPr>
    </w:pPr>
  </w:style>
  <w:style w:type="paragraph" w:styleId="List2">
    <w:name w:val="List 2"/>
    <w:basedOn w:val="BodyText"/>
    <w:rsid w:val="00E022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22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22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22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22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22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2294"/>
    <w:pPr>
      <w:numPr>
        <w:numId w:val="3"/>
      </w:numPr>
    </w:pPr>
  </w:style>
  <w:style w:type="paragraph" w:styleId="ListContinue2">
    <w:name w:val="List Continue 2"/>
    <w:basedOn w:val="List2"/>
    <w:rsid w:val="00E02294"/>
    <w:pPr>
      <w:ind w:firstLine="0"/>
    </w:pPr>
  </w:style>
  <w:style w:type="paragraph" w:styleId="ListContinue3">
    <w:name w:val="List Continue 3"/>
    <w:basedOn w:val="List3"/>
    <w:rsid w:val="00E02294"/>
    <w:pPr>
      <w:ind w:left="1021" w:firstLine="0"/>
    </w:pPr>
  </w:style>
  <w:style w:type="paragraph" w:styleId="ListContinue4">
    <w:name w:val="List Continue 4"/>
    <w:basedOn w:val="List4"/>
    <w:rsid w:val="00E02294"/>
    <w:pPr>
      <w:ind w:firstLine="0"/>
    </w:pPr>
  </w:style>
  <w:style w:type="paragraph" w:styleId="ListContinue5">
    <w:name w:val="List Continue 5"/>
    <w:basedOn w:val="List5"/>
    <w:rsid w:val="00E02294"/>
    <w:pPr>
      <w:ind w:firstLine="0"/>
    </w:pPr>
  </w:style>
  <w:style w:type="paragraph" w:styleId="ListNumber3">
    <w:name w:val="List Number 3"/>
    <w:basedOn w:val="List3"/>
    <w:rsid w:val="00E02294"/>
    <w:pPr>
      <w:numPr>
        <w:numId w:val="4"/>
      </w:numPr>
    </w:pPr>
  </w:style>
  <w:style w:type="paragraph" w:styleId="ListNumber4">
    <w:name w:val="List Number 4"/>
    <w:basedOn w:val="List4"/>
    <w:rsid w:val="00E02294"/>
    <w:pPr>
      <w:numPr>
        <w:numId w:val="5"/>
      </w:numPr>
    </w:pPr>
  </w:style>
  <w:style w:type="paragraph" w:styleId="ListNumber5">
    <w:name w:val="List Number 5"/>
    <w:basedOn w:val="List5"/>
    <w:rsid w:val="00E02294"/>
    <w:pPr>
      <w:numPr>
        <w:numId w:val="6"/>
      </w:numPr>
    </w:pPr>
  </w:style>
  <w:style w:type="paragraph" w:styleId="BlockText">
    <w:name w:val="Block Text"/>
    <w:basedOn w:val="Normal"/>
    <w:rsid w:val="00E022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22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2294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E022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2294"/>
    <w:rPr>
      <w:b/>
    </w:rPr>
  </w:style>
  <w:style w:type="character" w:customStyle="1" w:styleId="Underlined">
    <w:name w:val="Underlined"/>
    <w:basedOn w:val="DefaultParagraphFont"/>
    <w:rsid w:val="00E02294"/>
    <w:rPr>
      <w:u w:val="single"/>
    </w:rPr>
  </w:style>
  <w:style w:type="paragraph" w:customStyle="1" w:styleId="TableBodyTextRight">
    <w:name w:val="Table Body Text Right"/>
    <w:basedOn w:val="TableBodyText"/>
    <w:rsid w:val="00E022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2294"/>
    <w:rPr>
      <w:sz w:val="18"/>
    </w:rPr>
  </w:style>
  <w:style w:type="paragraph" w:customStyle="1" w:styleId="BodySmallRight">
    <w:name w:val="Body Small Right"/>
    <w:basedOn w:val="BodyTextRight"/>
    <w:rsid w:val="00E02294"/>
    <w:rPr>
      <w:sz w:val="18"/>
      <w:szCs w:val="18"/>
    </w:rPr>
  </w:style>
  <w:style w:type="paragraph" w:customStyle="1" w:styleId="MarginEdition">
    <w:name w:val="Margin Edition"/>
    <w:basedOn w:val="MarginNote"/>
    <w:rsid w:val="00E022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2294"/>
    <w:rPr>
      <w:sz w:val="2"/>
      <w:szCs w:val="2"/>
    </w:rPr>
  </w:style>
  <w:style w:type="character" w:customStyle="1" w:styleId="Small">
    <w:name w:val="Small"/>
    <w:basedOn w:val="DefaultParagraphFont"/>
    <w:rsid w:val="00E02294"/>
    <w:rPr>
      <w:sz w:val="16"/>
    </w:rPr>
  </w:style>
  <w:style w:type="paragraph" w:customStyle="1" w:styleId="WideTable">
    <w:name w:val="Wide Table"/>
    <w:basedOn w:val="Normal"/>
    <w:rsid w:val="00E022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2294"/>
  </w:style>
  <w:style w:type="paragraph" w:styleId="Quote">
    <w:name w:val="Quote"/>
    <w:basedOn w:val="Heading1"/>
    <w:link w:val="QuoteChar"/>
    <w:qFormat/>
    <w:rsid w:val="00E022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22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2294"/>
    <w:pPr>
      <w:pageBreakBefore/>
    </w:pPr>
  </w:style>
  <w:style w:type="paragraph" w:customStyle="1" w:styleId="Border">
    <w:name w:val="Border"/>
    <w:basedOn w:val="Normal"/>
    <w:qFormat/>
    <w:rsid w:val="00E022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22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2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2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22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22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22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22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22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2294"/>
    <w:rPr>
      <w:u w:val="single"/>
    </w:rPr>
  </w:style>
  <w:style w:type="character" w:customStyle="1" w:styleId="BoldandItalics">
    <w:name w:val="Bold and Italics"/>
    <w:qFormat/>
    <w:rsid w:val="00E02294"/>
    <w:rPr>
      <w:b/>
      <w:i/>
      <w:u w:val="none"/>
    </w:rPr>
  </w:style>
  <w:style w:type="paragraph" w:styleId="BalloonText">
    <w:name w:val="Balloon Text"/>
    <w:basedOn w:val="Normal"/>
    <w:link w:val="BalloonTextChar"/>
    <w:rsid w:val="00E022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22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22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22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22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22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22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A08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3764</Characters>
  <Application>Microsoft Office Word</Application>
  <DocSecurity>0</DocSecurity>
  <Lines>134</Lines>
  <Paragraphs>85</Paragraphs>
  <ScaleCrop>false</ScaleCrop>
  <Company>Author-it Software Corporation Ltd.</Company>
  <LinksUpToDate>false</LinksUpToDate>
  <CharactersWithSpaces>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FBPOIL3010 Operate and monitor a malaxer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2023-01-26T22:15:00Z</dcterms:created>
  <dcterms:modified xsi:type="dcterms:W3CDTF">2023-01-26T22:15:00Z</dcterms:modified>
</cp:coreProperties>
</file>