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A38" w:rsidP="00C42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FBPOIL3010 Operate and monitor a malaxer</w:t>
      </w:r>
      <w:r>
        <w:fldChar w:fldCharType="end"/>
      </w:r>
    </w:p>
    <w:p w:rsidR="00C42A38" w:rsidP="00C42A38">
      <w:pPr>
        <w:pStyle w:val="Version"/>
        <w:sectPr w:rsidSect="00350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83D" w:rsidP="0035083D">
      <w:pPr>
        <w:pStyle w:val="SuperHeading"/>
      </w:pPr>
      <w:r w:rsidRPr="0035083D">
        <w:t>Assessment Requirements for FBPOIL3010 Operate and monitor a malaxer</w:t>
      </w:r>
    </w:p>
    <w:p w:rsidR="00000000" w:rsidRPr="0035083D" w:rsidP="0035083D">
      <w:pPr>
        <w:pStyle w:val="Heading1"/>
      </w:pPr>
      <w:bookmarkStart w:id="1" w:name="O_1183716"/>
      <w:bookmarkEnd w:id="1"/>
      <w:r w:rsidRPr="003508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3"/>
        <w:gridCol w:w="6663"/>
      </w:tblGrid>
      <w:tr w:rsidTr="00C42A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3D">
            <w:pPr>
              <w:pStyle w:val="BodyTextBold"/>
              <w:rPr>
                <w:lang w:val="en-NZ"/>
              </w:rPr>
            </w:pPr>
            <w:r w:rsidRPr="0035083D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3D">
            <w:pPr>
              <w:pStyle w:val="BodyTextBold"/>
              <w:rPr>
                <w:lang w:val="en-NZ"/>
              </w:rPr>
            </w:pPr>
            <w:r w:rsidRPr="0035083D">
              <w:t>Comments</w:t>
            </w:r>
          </w:p>
        </w:tc>
      </w:tr>
      <w:tr w:rsidTr="00C42A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83D">
            <w:pPr>
              <w:pStyle w:val="BodyText"/>
              <w:rPr>
                <w:lang w:val="en-NZ"/>
              </w:rPr>
            </w:pPr>
            <w:r w:rsidRPr="0035083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83D" w:rsidP="0035083D">
            <w:pPr>
              <w:pStyle w:val="BodyText"/>
            </w:pPr>
            <w:r w:rsidRPr="0035083D">
              <w:t>This version released with FBP Food, Beverage and Pharmaceutical Training Package Version 6.0.</w:t>
            </w:r>
          </w:p>
        </w:tc>
      </w:tr>
    </w:tbl>
    <w:p w:rsidR="00000000" w:rsidRPr="0035083D" w:rsidP="0035083D">
      <w:pPr>
        <w:pStyle w:val="BodyText"/>
      </w:pPr>
    </w:p>
    <w:p w:rsidR="00000000" w:rsidRPr="0035083D" w:rsidP="0035083D">
      <w:pPr>
        <w:pStyle w:val="AllowPageBreak"/>
      </w:pPr>
    </w:p>
    <w:p w:rsidR="00000000" w:rsidRPr="0035083D" w:rsidP="0035083D">
      <w:pPr>
        <w:pStyle w:val="Heading1"/>
      </w:pPr>
      <w:bookmarkStart w:id="2" w:name="O_1183717"/>
      <w:bookmarkEnd w:id="2"/>
      <w:r w:rsidRPr="0035083D">
        <w:t>Performance Evidence</w:t>
      </w:r>
    </w:p>
    <w:p w:rsidR="00000000" w:rsidRPr="0035083D" w:rsidP="00C42A38">
      <w:pPr>
        <w:pStyle w:val="BodyText"/>
      </w:pPr>
      <w:r w:rsidRPr="0035083D">
        <w:t>An individual demonstrating competency must satisfy all of the elements and performance criteria in this unit.</w:t>
      </w:r>
    </w:p>
    <w:p w:rsidR="00000000" w:rsidRPr="0035083D" w:rsidP="00C42A38">
      <w:pPr>
        <w:pStyle w:val="BodyText"/>
      </w:pPr>
      <w:r w:rsidRPr="0035083D">
        <w:t>There must be evidence that the individual has operated and monitored a malaxer to release oil from at least one batch of cr</w:t>
      </w:r>
      <w:r w:rsidRPr="0035083D">
        <w:t>ushed olive paste, to meet specifications, including:</w:t>
      </w:r>
    </w:p>
    <w:p w:rsidR="00000000" w:rsidRPr="0035083D" w:rsidP="0035083D">
      <w:pPr>
        <w:pStyle w:val="ListBullet"/>
      </w:pPr>
      <w:r w:rsidRPr="0035083D">
        <w:t>applying food safety practices</w:t>
      </w:r>
    </w:p>
    <w:p w:rsidR="00000000" w:rsidRPr="0035083D" w:rsidP="0035083D">
      <w:pPr>
        <w:pStyle w:val="ListBullet"/>
      </w:pPr>
      <w:r w:rsidRPr="0035083D">
        <w:t>following safe work procedures</w:t>
      </w:r>
    </w:p>
    <w:p w:rsidR="00000000" w:rsidRPr="0035083D" w:rsidP="0035083D">
      <w:pPr>
        <w:pStyle w:val="ListBullet"/>
      </w:pPr>
      <w:r w:rsidRPr="0035083D">
        <w:t>taking corrective action in response to typical faults and inconsistencies in the malaxing process.</w:t>
      </w:r>
    </w:p>
    <w:p w:rsidR="00000000" w:rsidRPr="0035083D" w:rsidP="0035083D">
      <w:pPr>
        <w:pStyle w:val="AllowPageBreak"/>
      </w:pPr>
    </w:p>
    <w:p w:rsidR="00000000" w:rsidRPr="0035083D" w:rsidP="0035083D">
      <w:pPr>
        <w:pStyle w:val="Heading1"/>
      </w:pPr>
      <w:bookmarkStart w:id="3" w:name="O_1183718"/>
      <w:bookmarkEnd w:id="3"/>
      <w:r w:rsidRPr="0035083D">
        <w:t>Knowledge Evidence</w:t>
      </w:r>
    </w:p>
    <w:p w:rsidR="00000000" w:rsidRPr="0035083D" w:rsidP="00C42A38">
      <w:pPr>
        <w:pStyle w:val="BodyText"/>
      </w:pPr>
      <w:r w:rsidRPr="0035083D">
        <w:t>An individual must be able to demonstrate the knowledge required to perform the tasks outlined in the elements and performance criteria of this unit. This includes knowledge of:</w:t>
      </w:r>
    </w:p>
    <w:p w:rsidR="00000000" w:rsidRPr="0035083D" w:rsidP="0035083D">
      <w:pPr>
        <w:pStyle w:val="ListBullet"/>
      </w:pPr>
      <w:r w:rsidRPr="0035083D">
        <w:t>purpose and basic principles of malaxing olive paste</w:t>
      </w:r>
    </w:p>
    <w:p w:rsidR="00000000" w:rsidRPr="0035083D" w:rsidP="0035083D">
      <w:pPr>
        <w:pStyle w:val="ListBullet"/>
      </w:pPr>
      <w:r w:rsidRPr="0035083D">
        <w:t>Australian Standard for </w:t>
      </w:r>
      <w:r w:rsidRPr="0035083D">
        <w:t>Olive Oils and Olive-Pomace Oils (AS 5264-2011) </w:t>
      </w:r>
    </w:p>
    <w:p w:rsidR="00000000" w:rsidRPr="0035083D" w:rsidP="0035083D">
      <w:pPr>
        <w:pStyle w:val="ListBullet"/>
      </w:pPr>
      <w:r w:rsidRPr="0035083D">
        <w:t>Australian Olive Industry Code of Practice</w:t>
      </w:r>
    </w:p>
    <w:p w:rsidR="00000000" w:rsidRPr="0035083D" w:rsidP="0035083D">
      <w:pPr>
        <w:pStyle w:val="ListBullet"/>
      </w:pPr>
      <w:r w:rsidRPr="0035083D">
        <w:t>basic operating principles of mixing/blending equipment, including:</w:t>
      </w:r>
    </w:p>
    <w:p w:rsidR="00000000" w:rsidRPr="0035083D" w:rsidP="0035083D">
      <w:pPr>
        <w:pStyle w:val="ListBullet2"/>
      </w:pPr>
      <w:r w:rsidRPr="0035083D">
        <w:t>main equipment components</w:t>
      </w:r>
    </w:p>
    <w:p w:rsidR="00000000" w:rsidRPr="0035083D" w:rsidP="0035083D">
      <w:pPr>
        <w:pStyle w:val="ListBullet2"/>
      </w:pPr>
      <w:r w:rsidRPr="0035083D">
        <w:t>status and purpose of guards</w:t>
      </w:r>
    </w:p>
    <w:p w:rsidR="00000000" w:rsidRPr="0035083D" w:rsidP="0035083D">
      <w:pPr>
        <w:pStyle w:val="ListBullet2"/>
      </w:pPr>
      <w:r w:rsidRPr="0035083D">
        <w:t>equipment operating capacities and appli</w:t>
      </w:r>
      <w:r w:rsidRPr="0035083D">
        <w:t>cations</w:t>
      </w:r>
    </w:p>
    <w:p w:rsidR="00000000" w:rsidRPr="0035083D" w:rsidP="0035083D">
      <w:pPr>
        <w:pStyle w:val="ListBullet2"/>
      </w:pPr>
      <w:r w:rsidRPr="0035083D">
        <w:t>the purpose and location of sensors and related feedback instrumentation</w:t>
      </w:r>
    </w:p>
    <w:p w:rsidR="00000000" w:rsidRPr="0035083D" w:rsidP="0035083D">
      <w:pPr>
        <w:pStyle w:val="ListBullet2"/>
      </w:pPr>
      <w:r w:rsidRPr="0035083D">
        <w:t>awareness of calibration schedules for scales and related weighing/measuring equipment</w:t>
      </w:r>
    </w:p>
    <w:p w:rsidR="00000000" w:rsidRPr="0035083D" w:rsidP="0035083D">
      <w:pPr>
        <w:pStyle w:val="ListBullet"/>
      </w:pPr>
      <w:r w:rsidRPr="0035083D">
        <w:t>services required, and action to take if services are not available</w:t>
      </w:r>
    </w:p>
    <w:p w:rsidR="00000000" w:rsidRPr="0035083D" w:rsidP="0035083D">
      <w:pPr>
        <w:pStyle w:val="ListBullet"/>
      </w:pPr>
      <w:r w:rsidRPr="0035083D">
        <w:t>ingredient-handling requirements and shelf-life or coding</w:t>
      </w:r>
    </w:p>
    <w:p w:rsidR="00000000" w:rsidRPr="0035083D" w:rsidP="0035083D">
      <w:pPr>
        <w:pStyle w:val="ListBullet"/>
      </w:pPr>
      <w:r w:rsidRPr="0035083D">
        <w:t xml:space="preserve">quality characteristics required of olive paste </w:t>
      </w:r>
    </w:p>
    <w:p w:rsidR="00000000" w:rsidRPr="0035083D" w:rsidP="0035083D">
      <w:pPr>
        <w:pStyle w:val="ListBullet"/>
      </w:pPr>
      <w:r w:rsidRPr="0035083D">
        <w:t>the characteristics of pastes made from different types of olives</w:t>
      </w:r>
    </w:p>
    <w:p w:rsidR="00000000" w:rsidRPr="0035083D" w:rsidP="0035083D">
      <w:pPr>
        <w:pStyle w:val="ListBullet"/>
      </w:pPr>
      <w:r w:rsidRPr="0035083D">
        <w:t>additives and enzymes that can be added to the agitation process to ensure enough o</w:t>
      </w:r>
      <w:r w:rsidRPr="0035083D">
        <w:t>il is released, including: pectinases, cellulases and hemicellulases; talcum or micro talcum powder (hydrated magnesium silicate); water – these technological coadjuvants should not be detectable in the final product</w:t>
      </w:r>
    </w:p>
    <w:p w:rsidR="00000000" w:rsidRPr="0035083D" w:rsidP="0035083D">
      <w:pPr>
        <w:pStyle w:val="ListBullet"/>
      </w:pPr>
      <w:r w:rsidRPr="0035083D">
        <w:t xml:space="preserve">the effect of temperature on the olive </w:t>
      </w:r>
      <w:r w:rsidRPr="0035083D">
        <w:t>paste, and the need for paste to be kept at 25–30</w:t>
      </w:r>
      <w:r w:rsidRPr="0035083D">
        <w:rPr>
          <w:rStyle w:val="Symbols"/>
        </w:rPr>
        <w:t></w:t>
      </w:r>
      <w:r w:rsidRPr="0035083D">
        <w:t>C</w:t>
      </w:r>
    </w:p>
    <w:p w:rsidR="00000000" w:rsidRPr="0035083D" w:rsidP="0035083D">
      <w:pPr>
        <w:pStyle w:val="ListBullet"/>
      </w:pPr>
      <w:r w:rsidRPr="0035083D">
        <w:t>the effect of malaxation time on the efficiency of oil separation and oil quality</w:t>
      </w:r>
    </w:p>
    <w:p w:rsidR="00000000" w:rsidRPr="0035083D" w:rsidP="0035083D">
      <w:pPr>
        <w:pStyle w:val="ListBullet"/>
      </w:pPr>
      <w:r w:rsidRPr="0035083D">
        <w:t>calculation of malaxation time</w:t>
      </w:r>
    </w:p>
    <w:p w:rsidR="00000000" w:rsidRPr="0035083D" w:rsidP="0035083D">
      <w:pPr>
        <w:pStyle w:val="ListBullet"/>
      </w:pPr>
      <w:r w:rsidRPr="0035083D">
        <w:t>inspection or test points (control points) in the process and the related procedures and re</w:t>
      </w:r>
      <w:r w:rsidRPr="0035083D">
        <w:t>cording requirements, including times/temperatures and agitator speeds</w:t>
      </w:r>
    </w:p>
    <w:p w:rsidR="00000000" w:rsidRPr="0035083D" w:rsidP="0035083D">
      <w:pPr>
        <w:pStyle w:val="ListBullet"/>
      </w:pPr>
      <w:r w:rsidRPr="0035083D">
        <w:t>contamination/cross-contamination and food safety risks associated with the process, and related control measures, including cross-contamination risks and associated cleaning requiremen</w:t>
      </w:r>
      <w:r w:rsidRPr="0035083D">
        <w:t>ts</w:t>
      </w:r>
    </w:p>
    <w:p w:rsidR="00000000" w:rsidRPr="0035083D" w:rsidP="0035083D">
      <w:pPr>
        <w:pStyle w:val="ListBullet"/>
      </w:pPr>
      <w:r w:rsidRPr="0035083D">
        <w:t>operating requirements and parameters, and corrective action required when operation is outside specified operating parameters</w:t>
      </w:r>
    </w:p>
    <w:p w:rsidR="00000000" w:rsidRPr="0035083D" w:rsidP="0035083D">
      <w:pPr>
        <w:pStyle w:val="ListBullet"/>
      </w:pPr>
      <w:r w:rsidRPr="0035083D">
        <w:t>typical equipment faults and related causes, including signs and symptoms of faulty equipment, and early warning signs of pote</w:t>
      </w:r>
      <w:r w:rsidRPr="0035083D">
        <w:t>ntial problems</w:t>
      </w:r>
    </w:p>
    <w:p w:rsidR="00000000" w:rsidRPr="0035083D" w:rsidP="0035083D">
      <w:pPr>
        <w:pStyle w:val="ListBullet"/>
      </w:pPr>
      <w:r w:rsidRPr="0035083D">
        <w:t>common causes of variation, and corrective action required</w:t>
      </w:r>
    </w:p>
    <w:p w:rsidR="00000000" w:rsidRPr="0035083D" w:rsidP="0035083D">
      <w:pPr>
        <w:pStyle w:val="ListBullet"/>
      </w:pPr>
      <w:r w:rsidRPr="0035083D">
        <w:t>health and safety hazards and controls relevant to the mixing and blending process</w:t>
      </w:r>
    </w:p>
    <w:p w:rsidR="00000000" w:rsidRPr="0035083D" w:rsidP="0035083D">
      <w:pPr>
        <w:pStyle w:val="ListBullet"/>
      </w:pPr>
      <w:r w:rsidRPr="0035083D">
        <w:t xml:space="preserve">requirements of different shutdowns as appropriate to the blending or mixing process and workplace </w:t>
      </w:r>
      <w:r w:rsidRPr="0035083D">
        <w:t>production requirements, including emergency and routine shutdowns, and procedures to follow in the event of a power outage</w:t>
      </w:r>
    </w:p>
    <w:p w:rsidR="00000000" w:rsidRPr="0035083D" w:rsidP="0035083D">
      <w:pPr>
        <w:pStyle w:val="ListBullet"/>
      </w:pPr>
      <w:r w:rsidRPr="0035083D">
        <w:t>isolation, lock-out and tag-out procedures and responsibilities relevant to the mixing and blending process</w:t>
      </w:r>
    </w:p>
    <w:p w:rsidR="00000000" w:rsidRPr="0035083D" w:rsidP="0035083D">
      <w:pPr>
        <w:pStyle w:val="ListBullet"/>
      </w:pPr>
      <w:r w:rsidRPr="0035083D">
        <w:t>procedures and responsib</w:t>
      </w:r>
      <w:r w:rsidRPr="0035083D">
        <w:t>ility for reporting production and performance information</w:t>
      </w:r>
    </w:p>
    <w:p w:rsidR="00000000" w:rsidRPr="0035083D" w:rsidP="0035083D">
      <w:pPr>
        <w:pStyle w:val="ListBullet"/>
      </w:pPr>
      <w:r w:rsidRPr="0035083D">
        <w:t>environmental issues and controls relevant to the malaxing process, including waste or rework collection and handling procedures related to the process</w:t>
      </w:r>
    </w:p>
    <w:p w:rsidR="00000000" w:rsidRPr="0035083D" w:rsidP="0035083D">
      <w:pPr>
        <w:pStyle w:val="ListBullet"/>
      </w:pPr>
      <w:r w:rsidRPr="0035083D">
        <w:t>basic operating principles of process control</w:t>
      </w:r>
      <w:r w:rsidRPr="0035083D">
        <w:t>, where relevant, including the relationship between control panels and systems and the physical equipment</w:t>
      </w:r>
    </w:p>
    <w:p w:rsidR="00000000" w:rsidRPr="0035083D" w:rsidP="0035083D">
      <w:pPr>
        <w:pStyle w:val="ListBullet"/>
      </w:pPr>
      <w:r w:rsidRPr="0035083D">
        <w:t>cleaning and sanitisation procedures for mixing or blending equipment</w:t>
      </w:r>
    </w:p>
    <w:p w:rsidR="00000000" w:rsidRPr="0035083D" w:rsidP="0035083D">
      <w:pPr>
        <w:pStyle w:val="ListBullet"/>
      </w:pPr>
      <w:r w:rsidRPr="0035083D">
        <w:t>recording procedures to ensure traceability of product.</w:t>
      </w:r>
    </w:p>
    <w:p w:rsidR="00000000" w:rsidRPr="0035083D" w:rsidP="0035083D">
      <w:pPr>
        <w:pStyle w:val="AllowPageBreak"/>
      </w:pPr>
    </w:p>
    <w:p w:rsidR="00000000" w:rsidRPr="0035083D" w:rsidP="0035083D">
      <w:pPr>
        <w:pStyle w:val="Heading1"/>
      </w:pPr>
      <w:bookmarkStart w:id="4" w:name="O_1183719"/>
      <w:bookmarkEnd w:id="4"/>
      <w:r w:rsidRPr="0035083D">
        <w:t>Asse</w:t>
      </w:r>
      <w:r w:rsidRPr="0035083D">
        <w:t>ssment Conditions</w:t>
      </w:r>
    </w:p>
    <w:p w:rsidR="00000000" w:rsidRPr="0035083D" w:rsidP="00C42A38">
      <w:pPr>
        <w:pStyle w:val="BodyText"/>
      </w:pPr>
      <w:r w:rsidRPr="0035083D">
        <w:t>Assessment of the skills in this unit of competency must take place under the following conditions:</w:t>
      </w:r>
    </w:p>
    <w:p w:rsidR="00000000" w:rsidRPr="0035083D" w:rsidP="0035083D">
      <w:pPr>
        <w:pStyle w:val="ListBullet"/>
      </w:pPr>
      <w:r w:rsidRPr="0035083D">
        <w:t>physical conditions:</w:t>
      </w:r>
    </w:p>
    <w:p w:rsidR="00000000" w:rsidRPr="0035083D" w:rsidP="0035083D">
      <w:pPr>
        <w:pStyle w:val="ListBullet2"/>
      </w:pPr>
      <w:r w:rsidRPr="0035083D">
        <w:t>an olive oil processing workplace or an environment that accurately represents workplace conditions</w:t>
      </w:r>
    </w:p>
    <w:p w:rsidR="00000000" w:rsidRPr="0035083D" w:rsidP="0035083D">
      <w:pPr>
        <w:pStyle w:val="ListBullet"/>
      </w:pPr>
      <w:r w:rsidRPr="0035083D">
        <w:t>resources, equipment and materials:</w:t>
      </w:r>
    </w:p>
    <w:p w:rsidR="00000000" w:rsidRPr="0035083D" w:rsidP="0035083D">
      <w:pPr>
        <w:pStyle w:val="ListBullet2"/>
      </w:pPr>
      <w:r w:rsidRPr="0035083D">
        <w:t xml:space="preserve">malaxer process equipment and related services </w:t>
      </w:r>
    </w:p>
    <w:p w:rsidR="00000000" w:rsidRPr="0035083D" w:rsidP="0035083D">
      <w:pPr>
        <w:pStyle w:val="ListBullet2"/>
      </w:pPr>
      <w:r w:rsidRPr="0035083D">
        <w:t>personal protective clothing and equipment</w:t>
      </w:r>
    </w:p>
    <w:p w:rsidR="00000000" w:rsidRPr="0035083D" w:rsidP="0035083D">
      <w:pPr>
        <w:pStyle w:val="ListBullet2"/>
      </w:pPr>
      <w:r w:rsidRPr="0035083D">
        <w:t>crushed olives</w:t>
      </w:r>
    </w:p>
    <w:p w:rsidR="00000000" w:rsidRPr="0035083D" w:rsidP="0035083D">
      <w:pPr>
        <w:pStyle w:val="ListBullet2"/>
      </w:pPr>
      <w:r w:rsidRPr="0035083D">
        <w:t>cleaning materials and equipment</w:t>
      </w:r>
    </w:p>
    <w:p w:rsidR="00000000" w:rsidRPr="0035083D" w:rsidP="0035083D">
      <w:pPr>
        <w:pStyle w:val="ListBullet"/>
      </w:pPr>
      <w:r w:rsidRPr="0035083D">
        <w:t>specifications:</w:t>
      </w:r>
    </w:p>
    <w:p w:rsidR="00000000" w:rsidRPr="0035083D" w:rsidP="0035083D">
      <w:pPr>
        <w:pStyle w:val="ListBullet2"/>
      </w:pPr>
      <w:r w:rsidRPr="0035083D">
        <w:t>work procedures, including advice on safe work practices, food</w:t>
      </w:r>
      <w:r w:rsidRPr="0035083D">
        <w:t xml:space="preserve"> safety, quality and environmental requirements</w:t>
      </w:r>
    </w:p>
    <w:p w:rsidR="00000000" w:rsidRPr="0035083D" w:rsidP="0035083D">
      <w:pPr>
        <w:pStyle w:val="ListBullet2"/>
      </w:pPr>
      <w:r w:rsidRPr="0035083D">
        <w:t>batch/recipe instructions</w:t>
      </w:r>
    </w:p>
    <w:p w:rsidR="00000000" w:rsidRPr="0035083D" w:rsidP="0035083D">
      <w:pPr>
        <w:pStyle w:val="ListBullet2"/>
      </w:pPr>
      <w:r w:rsidRPr="0035083D">
        <w:t>information on equipment capacity and operating parameters</w:t>
      </w:r>
    </w:p>
    <w:p w:rsidR="00000000" w:rsidRPr="0035083D" w:rsidP="0035083D">
      <w:pPr>
        <w:pStyle w:val="ListBullet2"/>
      </w:pPr>
      <w:r w:rsidRPr="0035083D">
        <w:t>recording requirements.</w:t>
      </w:r>
    </w:p>
    <w:p w:rsidR="00000000" w:rsidRPr="0035083D" w:rsidP="00C42A38">
      <w:pPr>
        <w:pStyle w:val="BodyText"/>
      </w:pPr>
      <w:r w:rsidRPr="0035083D">
        <w:t>Assessors of this unit must satisfy the requirements for assessors in applicable vocational educati</w:t>
      </w:r>
      <w:r w:rsidRPr="0035083D">
        <w:t>on and training legislation, frameworks and/or standards.</w:t>
      </w:r>
    </w:p>
    <w:p w:rsidR="00000000" w:rsidRPr="0035083D" w:rsidP="0035083D">
      <w:pPr>
        <w:pStyle w:val="Heading1"/>
      </w:pPr>
      <w:bookmarkStart w:id="5" w:name="O_1183722"/>
      <w:bookmarkEnd w:id="5"/>
      <w:r w:rsidRPr="0035083D">
        <w:t>Links</w:t>
      </w:r>
    </w:p>
    <w:p w:rsidR="00000000" w:rsidRPr="0035083D" w:rsidP="00C42A38">
      <w:pPr>
        <w:pStyle w:val="BodyText"/>
      </w:pPr>
      <w:r w:rsidRPr="003508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33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083D" w:rsidP="0035083D"/>
    <w:sectPr w:rsidSect="00350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3D" w:rsidRPr="00C42A38" w:rsidP="00C42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38" w:rsidP="00350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A38" w:rsidP="00350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2A38" w:rsidP="00350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83D" w:rsidRPr="00C42A38" w:rsidP="00C42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38" w:rsidRPr="002D2AF8" w:rsidP="00350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FBPOIL3010 Operate and monitor a malaxer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42A38" w:rsidP="00350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6C5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02A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842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83D"/>
  </w:style>
  <w:style w:type="character" w:customStyle="1" w:styleId="Heading1Char">
    <w:name w:val="Heading 1 Char"/>
    <w:basedOn w:val="DefaultParagraphFont"/>
    <w:link w:val="Heading1"/>
    <w:rsid w:val="00350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8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08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5083D"/>
    <w:rPr>
      <w:rFonts w:ascii="Symbol" w:hAnsi="Symbol"/>
    </w:rPr>
  </w:style>
  <w:style w:type="paragraph" w:customStyle="1" w:styleId="BodyTextBold">
    <w:name w:val="Body Text Bold"/>
    <w:basedOn w:val="BodyText"/>
    <w:qFormat/>
    <w:rsid w:val="0035083D"/>
    <w:rPr>
      <w:b/>
    </w:rPr>
  </w:style>
  <w:style w:type="character" w:customStyle="1" w:styleId="Heading2Char">
    <w:name w:val="Heading 2 Char"/>
    <w:basedOn w:val="DefaultParagraphFont"/>
    <w:link w:val="Heading2"/>
    <w:rsid w:val="00350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83D"/>
    <w:rPr>
      <w:b/>
      <w:spacing w:val="0"/>
    </w:rPr>
  </w:style>
  <w:style w:type="paragraph" w:customStyle="1" w:styleId="SuperTitle">
    <w:name w:val="SuperTitle"/>
    <w:basedOn w:val="Title"/>
    <w:rsid w:val="00350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83D"/>
    <w:rPr>
      <w:i/>
    </w:rPr>
  </w:style>
  <w:style w:type="paragraph" w:styleId="Caption">
    <w:name w:val="caption"/>
    <w:basedOn w:val="BodyText"/>
    <w:next w:val="Normal"/>
    <w:qFormat/>
    <w:rsid w:val="00350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83D"/>
  </w:style>
  <w:style w:type="paragraph" w:styleId="TableofFigures">
    <w:name w:val="table of figures"/>
    <w:basedOn w:val="Normal"/>
    <w:next w:val="Normal"/>
    <w:semiHidden/>
    <w:rsid w:val="00350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8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83D"/>
    <w:rPr>
      <w:rFonts w:ascii="Wingdings" w:hAnsi="Wingdings"/>
    </w:rPr>
  </w:style>
  <w:style w:type="paragraph" w:customStyle="1" w:styleId="TableHeading">
    <w:name w:val="Table Heading"/>
    <w:basedOn w:val="HeadingBase"/>
    <w:rsid w:val="00350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83D"/>
    <w:rPr>
      <w:color w:val="0033CC"/>
      <w:u w:val="none"/>
    </w:rPr>
  </w:style>
  <w:style w:type="paragraph" w:customStyle="1" w:styleId="BodyTextRight">
    <w:name w:val="Body Text Right"/>
    <w:basedOn w:val="BodyText"/>
    <w:rsid w:val="00350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8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83D"/>
    <w:rPr>
      <w:sz w:val="32"/>
    </w:rPr>
  </w:style>
  <w:style w:type="paragraph" w:customStyle="1" w:styleId="HeadingProcedure">
    <w:name w:val="Heading Procedure"/>
    <w:basedOn w:val="HeadingBase"/>
    <w:next w:val="Normal"/>
    <w:rsid w:val="00350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83D"/>
    <w:pPr>
      <w:spacing w:before="60" w:after="60"/>
    </w:pPr>
  </w:style>
  <w:style w:type="paragraph" w:styleId="ListContinue">
    <w:name w:val="List Continue"/>
    <w:basedOn w:val="List"/>
    <w:rsid w:val="0035083D"/>
    <w:pPr>
      <w:ind w:firstLine="0"/>
    </w:pPr>
  </w:style>
  <w:style w:type="paragraph" w:customStyle="1" w:styleId="ListNote">
    <w:name w:val="List Note"/>
    <w:basedOn w:val="List"/>
    <w:rsid w:val="00350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83D"/>
    <w:rPr>
      <w:rFonts w:ascii="Courier New" w:hAnsi="Courier New"/>
    </w:rPr>
  </w:style>
  <w:style w:type="paragraph" w:customStyle="1" w:styleId="NoteBullet">
    <w:name w:val="Note Bullet"/>
    <w:basedOn w:val="Note"/>
    <w:rsid w:val="00350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8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83D"/>
    <w:rPr>
      <w:b/>
      <w:smallCaps/>
    </w:rPr>
  </w:style>
  <w:style w:type="paragraph" w:customStyle="1" w:styleId="TableListNumber">
    <w:name w:val="Table List Number"/>
    <w:basedOn w:val="ListNumber"/>
    <w:rsid w:val="00350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83D"/>
    <w:pPr>
      <w:numPr>
        <w:numId w:val="9"/>
      </w:numPr>
    </w:pPr>
  </w:style>
  <w:style w:type="paragraph" w:customStyle="1" w:styleId="ListAlpha2">
    <w:name w:val="List Alpha 2"/>
    <w:basedOn w:val="List2"/>
    <w:rsid w:val="0035083D"/>
    <w:pPr>
      <w:numPr>
        <w:numId w:val="8"/>
      </w:numPr>
    </w:pPr>
  </w:style>
  <w:style w:type="paragraph" w:styleId="List2">
    <w:name w:val="List 2"/>
    <w:basedOn w:val="BodyText"/>
    <w:rsid w:val="00350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8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8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8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83D"/>
    <w:pPr>
      <w:numPr>
        <w:numId w:val="4"/>
      </w:numPr>
    </w:pPr>
  </w:style>
  <w:style w:type="paragraph" w:styleId="ListContinue2">
    <w:name w:val="List Continue 2"/>
    <w:basedOn w:val="List2"/>
    <w:rsid w:val="0035083D"/>
    <w:pPr>
      <w:ind w:firstLine="0"/>
    </w:pPr>
  </w:style>
  <w:style w:type="paragraph" w:styleId="ListContinue3">
    <w:name w:val="List Continue 3"/>
    <w:basedOn w:val="List3"/>
    <w:rsid w:val="0035083D"/>
    <w:pPr>
      <w:ind w:left="1021" w:firstLine="0"/>
    </w:pPr>
  </w:style>
  <w:style w:type="paragraph" w:styleId="ListContinue4">
    <w:name w:val="List Continue 4"/>
    <w:basedOn w:val="List4"/>
    <w:rsid w:val="0035083D"/>
    <w:pPr>
      <w:ind w:firstLine="0"/>
    </w:pPr>
  </w:style>
  <w:style w:type="paragraph" w:styleId="ListContinue5">
    <w:name w:val="List Continue 5"/>
    <w:basedOn w:val="List5"/>
    <w:rsid w:val="0035083D"/>
    <w:pPr>
      <w:ind w:firstLine="0"/>
    </w:pPr>
  </w:style>
  <w:style w:type="paragraph" w:styleId="ListNumber3">
    <w:name w:val="List Number 3"/>
    <w:basedOn w:val="List3"/>
    <w:rsid w:val="0035083D"/>
    <w:pPr>
      <w:numPr>
        <w:numId w:val="5"/>
      </w:numPr>
    </w:pPr>
  </w:style>
  <w:style w:type="paragraph" w:styleId="ListNumber4">
    <w:name w:val="List Number 4"/>
    <w:basedOn w:val="List4"/>
    <w:rsid w:val="0035083D"/>
    <w:pPr>
      <w:numPr>
        <w:numId w:val="6"/>
      </w:numPr>
    </w:pPr>
  </w:style>
  <w:style w:type="paragraph" w:styleId="ListNumber5">
    <w:name w:val="List Number 5"/>
    <w:basedOn w:val="List5"/>
    <w:rsid w:val="0035083D"/>
    <w:pPr>
      <w:numPr>
        <w:numId w:val="7"/>
      </w:numPr>
    </w:pPr>
  </w:style>
  <w:style w:type="paragraph" w:styleId="BlockText">
    <w:name w:val="Block Text"/>
    <w:basedOn w:val="Normal"/>
    <w:rsid w:val="00350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83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50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83D"/>
    <w:rPr>
      <w:b/>
    </w:rPr>
  </w:style>
  <w:style w:type="character" w:customStyle="1" w:styleId="Underlined">
    <w:name w:val="Underlined"/>
    <w:basedOn w:val="DefaultParagraphFont"/>
    <w:rsid w:val="0035083D"/>
    <w:rPr>
      <w:u w:val="single"/>
    </w:rPr>
  </w:style>
  <w:style w:type="paragraph" w:customStyle="1" w:styleId="TableBodyTextRight">
    <w:name w:val="Table Body Text Right"/>
    <w:basedOn w:val="TableBodyText"/>
    <w:rsid w:val="00350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83D"/>
    <w:rPr>
      <w:sz w:val="18"/>
    </w:rPr>
  </w:style>
  <w:style w:type="paragraph" w:customStyle="1" w:styleId="BodySmallRight">
    <w:name w:val="Body Small Right"/>
    <w:basedOn w:val="BodyTextRight"/>
    <w:rsid w:val="0035083D"/>
    <w:rPr>
      <w:sz w:val="18"/>
      <w:szCs w:val="18"/>
    </w:rPr>
  </w:style>
  <w:style w:type="paragraph" w:customStyle="1" w:styleId="MarginEdition">
    <w:name w:val="Margin Edition"/>
    <w:basedOn w:val="MarginNote"/>
    <w:rsid w:val="00350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83D"/>
    <w:rPr>
      <w:sz w:val="2"/>
      <w:szCs w:val="2"/>
    </w:rPr>
  </w:style>
  <w:style w:type="character" w:customStyle="1" w:styleId="Small">
    <w:name w:val="Small"/>
    <w:basedOn w:val="DefaultParagraphFont"/>
    <w:rsid w:val="0035083D"/>
    <w:rPr>
      <w:sz w:val="16"/>
    </w:rPr>
  </w:style>
  <w:style w:type="paragraph" w:customStyle="1" w:styleId="WideTable">
    <w:name w:val="Wide Table"/>
    <w:basedOn w:val="Normal"/>
    <w:rsid w:val="00350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83D"/>
  </w:style>
  <w:style w:type="paragraph" w:styleId="Quote">
    <w:name w:val="Quote"/>
    <w:basedOn w:val="Heading1"/>
    <w:link w:val="QuoteChar"/>
    <w:qFormat/>
    <w:rsid w:val="00350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83D"/>
    <w:pPr>
      <w:pageBreakBefore/>
    </w:pPr>
  </w:style>
  <w:style w:type="paragraph" w:customStyle="1" w:styleId="Border">
    <w:name w:val="Border"/>
    <w:basedOn w:val="Normal"/>
    <w:qFormat/>
    <w:rsid w:val="00350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83D"/>
    <w:rPr>
      <w:u w:val="single"/>
    </w:rPr>
  </w:style>
  <w:style w:type="character" w:customStyle="1" w:styleId="BoldandItalics">
    <w:name w:val="Bold and Italics"/>
    <w:qFormat/>
    <w:rsid w:val="0035083D"/>
    <w:rPr>
      <w:b/>
      <w:i/>
      <w:u w:val="none"/>
    </w:rPr>
  </w:style>
  <w:style w:type="paragraph" w:styleId="BalloonText">
    <w:name w:val="Balloon Text"/>
    <w:basedOn w:val="Normal"/>
    <w:link w:val="BalloonTextChar"/>
    <w:rsid w:val="00350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8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2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4314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FBPOIL3010 Operate and monitor a malaxer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2023-01-25T15:09:00Z</dcterms:created>
  <dcterms:modified xsi:type="dcterms:W3CDTF">2023-01-25T15:09:00Z</dcterms:modified>
</cp:coreProperties>
</file>