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7EF" w:rsidP="00A30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FBPHVB3015 Operate and monitor a griddle production process</w:t>
      </w:r>
      <w:r>
        <w:fldChar w:fldCharType="end"/>
      </w:r>
    </w:p>
    <w:p w:rsidR="00A307EF" w:rsidP="00A307EF">
      <w:pPr>
        <w:pStyle w:val="Version"/>
        <w:sectPr w:rsidSect="00312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233" w:rsidP="00312233">
      <w:pPr>
        <w:pStyle w:val="SuperHeading"/>
      </w:pPr>
      <w:r w:rsidRPr="00312233">
        <w:t>FBPHVB3015 Operate and monitor a griddle production process</w:t>
      </w:r>
    </w:p>
    <w:p w:rsidR="00000000" w:rsidRPr="00312233" w:rsidP="00312233">
      <w:pPr>
        <w:pStyle w:val="Heading1"/>
      </w:pPr>
      <w:bookmarkStart w:id="1" w:name="O_1185825"/>
      <w:bookmarkEnd w:id="1"/>
      <w:r w:rsidRPr="003122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2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Bold"/>
              <w:rPr>
                <w:lang w:val="en-NZ"/>
              </w:rPr>
            </w:pPr>
            <w:r w:rsidRPr="003122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Bold"/>
              <w:rPr>
                <w:lang w:val="en-NZ"/>
              </w:rPr>
            </w:pPr>
            <w:r w:rsidRPr="00312233">
              <w:t>Comments</w:t>
            </w:r>
          </w:p>
        </w:tc>
      </w:tr>
      <w:tr w:rsidTr="00312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BodyText"/>
            </w:pPr>
            <w:r w:rsidRPr="00312233">
              <w:t>This version released with FBP Food, Beverage and Pharmaceutical Training Package Version 6.0.</w:t>
            </w:r>
          </w:p>
        </w:tc>
      </w:tr>
    </w:tbl>
    <w:p w:rsidR="00000000" w:rsidRPr="00312233" w:rsidP="00312233">
      <w:pPr>
        <w:pStyle w:val="BodyText"/>
      </w:pPr>
    </w:p>
    <w:p w:rsidR="00000000" w:rsidRPr="00312233" w:rsidP="00312233">
      <w:pPr>
        <w:pStyle w:val="AllowPageBreak"/>
      </w:pPr>
    </w:p>
    <w:p w:rsidR="00000000" w:rsidRPr="00312233" w:rsidP="00312233">
      <w:pPr>
        <w:pStyle w:val="Heading1"/>
      </w:pPr>
      <w:bookmarkStart w:id="2" w:name="O_1185826"/>
      <w:bookmarkEnd w:id="2"/>
      <w:r w:rsidRPr="00312233">
        <w:t>Application</w:t>
      </w:r>
    </w:p>
    <w:p w:rsidR="00000000" w:rsidRPr="00312233" w:rsidP="00A307EF">
      <w:pPr>
        <w:pStyle w:val="BodyText"/>
      </w:pPr>
      <w:r w:rsidRPr="00312233">
        <w:t>This unit of competency describes the skills and knowledge re</w:t>
      </w:r>
      <w:r w:rsidRPr="00312233">
        <w:t>quired to set up, operate, adjust and shut down a griddle production process to produce pancakes, muffins and simple bread products.</w:t>
      </w:r>
    </w:p>
    <w:p w:rsidR="00000000" w:rsidRPr="00312233" w:rsidP="00A307EF">
      <w:pPr>
        <w:pStyle w:val="BodyText"/>
      </w:pPr>
      <w:r w:rsidRPr="00312233">
        <w:t>This unit applies to individuals who take responsibility for the operation and monitoring of a griddle production process a</w:t>
      </w:r>
      <w:r w:rsidRPr="00312233">
        <w:t>nd associated equipment in a high volume baking environment. The work includes identifying and providing solutions to routine and some non-routine problems.</w:t>
      </w:r>
    </w:p>
    <w:p w:rsidR="00000000" w:rsidRPr="00312233" w:rsidP="00A307EF">
      <w:pPr>
        <w:pStyle w:val="BodyText"/>
      </w:pPr>
      <w:r w:rsidRPr="00312233">
        <w:t>All work must be carried out to comply with workplace procedures according to state/territory healt</w:t>
      </w:r>
      <w:r w:rsidRPr="00312233">
        <w:t>h and safety and food safety regulations, legislation and standards that apply to the workplace.</w:t>
      </w:r>
    </w:p>
    <w:p w:rsidR="00000000" w:rsidRPr="00312233" w:rsidP="00A307EF">
      <w:pPr>
        <w:pStyle w:val="BodyText"/>
      </w:pPr>
      <w:r w:rsidRPr="00312233">
        <w:t>No licensing, legislative or certification requirements apply to this unit at the time of publication.</w:t>
      </w:r>
    </w:p>
    <w:p w:rsidR="00000000" w:rsidRPr="00312233" w:rsidP="00312233">
      <w:pPr>
        <w:pStyle w:val="Heading1"/>
      </w:pPr>
      <w:bookmarkStart w:id="3" w:name="O_1185827"/>
      <w:bookmarkEnd w:id="3"/>
      <w:r w:rsidRPr="00312233">
        <w:t>Pre-requisite Unit</w:t>
      </w:r>
    </w:p>
    <w:p w:rsidR="00000000" w:rsidRPr="00312233" w:rsidP="00A307EF">
      <w:pPr>
        <w:pStyle w:val="BodyText"/>
      </w:pPr>
      <w:r w:rsidRPr="00312233">
        <w:t>Nil</w:t>
      </w:r>
    </w:p>
    <w:p w:rsidR="00000000" w:rsidRPr="00312233" w:rsidP="00312233">
      <w:pPr>
        <w:pStyle w:val="Heading1"/>
      </w:pPr>
      <w:bookmarkStart w:id="4" w:name="O_1185829"/>
      <w:bookmarkEnd w:id="4"/>
      <w:r w:rsidRPr="00312233">
        <w:t>Unit Sector</w:t>
      </w:r>
    </w:p>
    <w:p w:rsidR="00000000" w:rsidRPr="00312233" w:rsidP="00A307EF">
      <w:pPr>
        <w:pStyle w:val="BodyText"/>
      </w:pPr>
      <w:r w:rsidRPr="00312233">
        <w:t>High Volume Baking (HVB)</w:t>
      </w:r>
    </w:p>
    <w:p w:rsidR="00000000" w:rsidRPr="00312233" w:rsidP="00312233">
      <w:pPr>
        <w:pStyle w:val="Heading1"/>
      </w:pPr>
      <w:bookmarkStart w:id="5" w:name="O_1185830"/>
      <w:bookmarkEnd w:id="5"/>
      <w:r w:rsidRPr="003122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0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Bold"/>
              <w:rPr>
                <w:lang w:val="en-NZ"/>
              </w:rPr>
            </w:pPr>
            <w:r w:rsidRPr="003122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Bold"/>
              <w:rPr>
                <w:lang w:val="en-NZ"/>
              </w:rPr>
            </w:pPr>
            <w:r w:rsidRPr="00312233">
              <w:t>Performance Criteria</w:t>
            </w:r>
          </w:p>
        </w:tc>
      </w:tr>
      <w:tr w:rsidTr="00A30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BodyText"/>
            </w:pPr>
            <w:r w:rsidRPr="003122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1. Prepare to produce food using griddle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BodyText"/>
            </w:pPr>
            <w:r w:rsidRPr="00312233">
              <w:t>1.1 Interpret work instructions and clarify where required</w:t>
            </w:r>
          </w:p>
          <w:p w:rsidR="00000000" w:rsidRPr="00312233" w:rsidP="00312233">
            <w:pPr>
              <w:pStyle w:val="BodyText"/>
            </w:pPr>
            <w:r w:rsidRPr="00312233">
              <w:t>1.2 Identify health and safety hazards and address risks</w:t>
            </w:r>
          </w:p>
          <w:p w:rsidR="00000000" w:rsidRPr="00312233" w:rsidP="00312233">
            <w:pPr>
              <w:pStyle w:val="BodyText"/>
            </w:pPr>
            <w:r w:rsidRPr="00312233">
              <w:t>1.</w:t>
            </w:r>
            <w:r w:rsidRPr="00312233">
              <w:t xml:space="preserve">3 Wear appropriate personal protective equipment and clothing and ensure correct fit </w:t>
            </w:r>
          </w:p>
          <w:p w:rsidR="00000000" w:rsidRPr="00312233" w:rsidP="00312233">
            <w:pPr>
              <w:pStyle w:val="BodyText"/>
            </w:pPr>
            <w:r w:rsidRPr="00312233">
              <w:t>1.4 Confirm materials and ingredients are available to meet operating and food safety requirements</w:t>
            </w:r>
          </w:p>
          <w:p w:rsidR="00000000" w:rsidRPr="00312233" w:rsidP="00312233">
            <w:pPr>
              <w:pStyle w:val="BodyText"/>
            </w:pPr>
            <w:r w:rsidRPr="00312233">
              <w:t>1.5 Confirm equipment and services are available</w:t>
            </w:r>
          </w:p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1.6 Identify and confirm equipment is clean and maintenance requirements have been met, according to health, safety and food safety requirements</w:t>
            </w:r>
          </w:p>
        </w:tc>
      </w:tr>
      <w:tr w:rsidTr="00A30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2. Prepare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BodyText"/>
            </w:pPr>
            <w:r w:rsidRPr="00312233">
              <w:t xml:space="preserve">2.1 Fit machine components and related attachments, and adjust </w:t>
            </w:r>
            <w:r w:rsidRPr="00312233">
              <w:t>to meet operating requirements</w:t>
            </w:r>
          </w:p>
          <w:p w:rsidR="00000000" w:rsidRPr="00312233" w:rsidP="00312233">
            <w:pPr>
              <w:pStyle w:val="BodyText"/>
            </w:pPr>
            <w:r w:rsidRPr="00312233">
              <w:t>2.2 Enter processing and operating parameters to meet food safety and production requirements</w:t>
            </w:r>
          </w:p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2.3 Carry out pre-start checks according to work health and safety and operating procedures</w:t>
            </w:r>
          </w:p>
        </w:tc>
      </w:tr>
      <w:tr w:rsidTr="00A30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BodyText"/>
            </w:pPr>
            <w:r w:rsidRPr="00312233">
              <w:t>3.1 I</w:t>
            </w:r>
            <w:r w:rsidRPr="00312233">
              <w:t>ntroduce ingredients and additives in the required quantities and sequence to meet recipe specifications</w:t>
            </w:r>
          </w:p>
          <w:p w:rsidR="00000000" w:rsidRPr="00312233" w:rsidP="00312233">
            <w:pPr>
              <w:pStyle w:val="BodyText"/>
            </w:pPr>
            <w:r w:rsidRPr="00312233">
              <w:t>3.2 Monitor the process for variation in operating conditions</w:t>
            </w:r>
          </w:p>
          <w:p w:rsidR="00000000" w:rsidRPr="00312233" w:rsidP="00312233">
            <w:pPr>
              <w:pStyle w:val="BodyText"/>
            </w:pPr>
            <w:r w:rsidRPr="00312233">
              <w:t xml:space="preserve">3.3 Monitor the process to confirm that product meets specifications </w:t>
            </w:r>
          </w:p>
          <w:p w:rsidR="00000000" w:rsidRPr="00312233" w:rsidP="00312233">
            <w:pPr>
              <w:pStyle w:val="BodyText"/>
            </w:pPr>
            <w:r w:rsidRPr="00312233">
              <w:t>3.4 Monitor deposit</w:t>
            </w:r>
            <w:r w:rsidRPr="00312233">
              <w:t>ing of mix to ensure product weight is accurate</w:t>
            </w:r>
          </w:p>
          <w:p w:rsidR="00000000" w:rsidRPr="00312233" w:rsidP="00312233">
            <w:pPr>
              <w:pStyle w:val="BodyText"/>
            </w:pPr>
            <w:r w:rsidRPr="00312233">
              <w:t>3.5 Monitor cooking process to ensure product meets specifications</w:t>
            </w:r>
          </w:p>
          <w:p w:rsidR="00000000" w:rsidRPr="00312233" w:rsidP="00312233">
            <w:pPr>
              <w:pStyle w:val="BodyText"/>
            </w:pPr>
            <w:r w:rsidRPr="00312233">
              <w:t>3.6 Identify, adjust and report out-of-specification equipment, product or process outcomes according to workplace requirements</w:t>
            </w:r>
          </w:p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3.7 Follow an</w:t>
            </w:r>
            <w:r w:rsidRPr="00312233">
              <w:t>d apply workplace housekeeping procedures and environmental requirements</w:t>
            </w:r>
          </w:p>
        </w:tc>
      </w:tr>
      <w:tr w:rsidTr="00A30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BodyText"/>
            </w:pPr>
            <w:r w:rsidRPr="00312233">
              <w:t>4.1 Complete the process safely according to workplace procedures</w:t>
            </w:r>
          </w:p>
          <w:p w:rsidR="00000000" w:rsidRPr="00312233" w:rsidP="00312233">
            <w:pPr>
              <w:pStyle w:val="BodyText"/>
            </w:pPr>
            <w:r w:rsidRPr="00312233">
              <w:t>4.2 Identify and report maintenance requirements</w:t>
            </w:r>
          </w:p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 xml:space="preserve">4.3 Maintain workplace records accurately </w:t>
            </w:r>
            <w:r w:rsidRPr="00312233">
              <w:t>according to workplace procedures</w:t>
            </w:r>
          </w:p>
        </w:tc>
      </w:tr>
      <w:tr w:rsidTr="00A30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BodyText"/>
            </w:pPr>
            <w:r w:rsidRPr="00312233">
              <w:t>5. Recognise and correct common faults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BodyText"/>
            </w:pPr>
            <w:r w:rsidRPr="00312233">
              <w:t>5.1 Test cooked product to ensure it meets specifications</w:t>
            </w:r>
          </w:p>
          <w:p w:rsidR="00000000" w:rsidRPr="00312233" w:rsidP="00312233">
            <w:pPr>
              <w:pStyle w:val="BodyText"/>
            </w:pPr>
            <w:r w:rsidRPr="00312233">
              <w:t>5.2 Identify causes of typical faults and how they can be rectified according to workplace requirements</w:t>
            </w:r>
          </w:p>
          <w:p w:rsidR="00000000" w:rsidRPr="00312233" w:rsidP="00312233">
            <w:pPr>
              <w:pStyle w:val="BodyText"/>
            </w:pPr>
            <w:r w:rsidRPr="00312233">
              <w:t xml:space="preserve">5.3 Discard faulty products according to workplace and environmental </w:t>
            </w:r>
            <w:r w:rsidRPr="00312233">
              <w:t>guidelines</w:t>
            </w:r>
          </w:p>
        </w:tc>
      </w:tr>
    </w:tbl>
    <w:p w:rsidR="00000000" w:rsidRPr="00312233" w:rsidP="00312233">
      <w:pPr>
        <w:pStyle w:val="BodyText"/>
      </w:pPr>
    </w:p>
    <w:p w:rsidR="00000000" w:rsidRPr="00312233" w:rsidP="00312233">
      <w:pPr>
        <w:pStyle w:val="AllowPageBreak"/>
      </w:pPr>
    </w:p>
    <w:p w:rsidR="00000000" w:rsidRPr="00312233" w:rsidP="00312233">
      <w:pPr>
        <w:pStyle w:val="Heading1"/>
      </w:pPr>
      <w:bookmarkStart w:id="6" w:name="O_1185831"/>
      <w:bookmarkEnd w:id="6"/>
      <w:r w:rsidRPr="00312233">
        <w:t>Foundation Skills</w:t>
      </w:r>
    </w:p>
    <w:p w:rsidR="00000000" w:rsidRPr="00A307EF" w:rsidP="00A307EF">
      <w:pPr>
        <w:pStyle w:val="BodyText"/>
        <w:rPr>
          <w:i/>
        </w:rPr>
      </w:pPr>
      <w:r w:rsidRPr="00A307EF">
        <w:rPr>
          <w:rStyle w:val="Emphasis"/>
        </w:rPr>
        <w:t>This section describes those language, literacy, numeracy and employment skills that are essential for performance in this unit of compet</w:t>
      </w:r>
      <w:r w:rsidRPr="00A307EF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2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Bold"/>
              <w:rPr>
                <w:lang w:val="en-NZ"/>
              </w:rPr>
            </w:pPr>
            <w:r w:rsidRPr="003122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Bold"/>
              <w:rPr>
                <w:lang w:val="en-NZ"/>
              </w:rPr>
            </w:pPr>
            <w:r w:rsidRPr="00312233">
              <w:t>Description</w:t>
            </w:r>
          </w:p>
        </w:tc>
      </w:tr>
      <w:tr w:rsidTr="00312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ListBullet"/>
              <w:rPr>
                <w:lang w:val="en-NZ"/>
              </w:rPr>
            </w:pPr>
            <w:r w:rsidRPr="00312233">
              <w:t>Interpret work instructions and product specifications</w:t>
            </w:r>
          </w:p>
        </w:tc>
      </w:tr>
      <w:tr w:rsidTr="00312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ListBullet"/>
              <w:rPr>
                <w:lang w:val="en-NZ"/>
              </w:rPr>
            </w:pPr>
            <w:r w:rsidRPr="00312233">
              <w:t>Record processing information using digital and/or paper-based formats</w:t>
            </w:r>
          </w:p>
        </w:tc>
      </w:tr>
      <w:tr w:rsidTr="00312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ListBullet"/>
              <w:rPr>
                <w:lang w:val="en-NZ"/>
              </w:rPr>
            </w:pPr>
            <w:r w:rsidRPr="00312233">
              <w:t>Follow instructions and ask questions to clarify information</w:t>
            </w:r>
          </w:p>
        </w:tc>
      </w:tr>
      <w:tr w:rsidTr="00312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ListBullet"/>
            </w:pPr>
            <w:r w:rsidRPr="00312233">
              <w:t>Interpret symbols and numbers on temperature gauges and scales</w:t>
            </w:r>
          </w:p>
          <w:p w:rsidR="00000000" w:rsidRPr="00312233" w:rsidP="00312233">
            <w:pPr>
              <w:pStyle w:val="ListBullet"/>
            </w:pPr>
            <w:r w:rsidRPr="00312233">
              <w:t>Use basic arithmetic to calculate quantities</w:t>
            </w:r>
          </w:p>
          <w:p w:rsidR="00000000" w:rsidRPr="00312233" w:rsidP="00312233">
            <w:pPr>
              <w:pStyle w:val="ListBullet"/>
            </w:pPr>
            <w:r w:rsidRPr="00312233">
              <w:t xml:space="preserve">Measure size (mm, cm), weight (mg, g, kg) and volume (ml, L) </w:t>
            </w:r>
          </w:p>
        </w:tc>
      </w:tr>
    </w:tbl>
    <w:p w:rsidR="00000000" w:rsidRPr="00312233" w:rsidP="00312233">
      <w:pPr>
        <w:pStyle w:val="BodyText"/>
      </w:pPr>
    </w:p>
    <w:p w:rsidR="00000000" w:rsidRPr="00312233" w:rsidP="00312233">
      <w:pPr>
        <w:pStyle w:val="AllowPageBreak"/>
      </w:pPr>
    </w:p>
    <w:p w:rsidR="00000000" w:rsidRPr="00312233" w:rsidP="00312233">
      <w:pPr>
        <w:pStyle w:val="Heading1"/>
      </w:pPr>
      <w:bookmarkStart w:id="7" w:name="O_1185833"/>
      <w:bookmarkEnd w:id="7"/>
      <w:r w:rsidRPr="003122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12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Bold"/>
              <w:rPr>
                <w:lang w:val="en-NZ"/>
              </w:rPr>
            </w:pPr>
            <w:r w:rsidRPr="0031223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Bold"/>
              <w:rPr>
                <w:lang w:val="en-NZ"/>
              </w:rPr>
            </w:pPr>
            <w:r w:rsidRPr="0031223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Bold"/>
              <w:rPr>
                <w:lang w:val="en-NZ"/>
              </w:rPr>
            </w:pPr>
            <w:r w:rsidRPr="003122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Bold"/>
              <w:rPr>
                <w:lang w:val="en-NZ"/>
              </w:rPr>
            </w:pPr>
            <w:r w:rsidRPr="00312233">
              <w:t>Equivalence status</w:t>
            </w:r>
          </w:p>
        </w:tc>
      </w:tr>
      <w:tr w:rsidTr="00312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FBPHVB3015 Operate and monitor a griddle production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>FBPPBK2006 Operate a griddle production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BodyText"/>
            </w:pPr>
            <w:r w:rsidRPr="00312233">
              <w:t>Updated unit code and title</w:t>
            </w:r>
          </w:p>
          <w:p w:rsidR="00000000" w:rsidRPr="00312233" w:rsidP="00312233">
            <w:pPr>
              <w:pStyle w:val="BodyText"/>
            </w:pPr>
            <w:r w:rsidRPr="00312233">
              <w:t>Minor changes to Performance Criteria to clarify task</w:t>
            </w:r>
          </w:p>
          <w:p w:rsidR="00000000" w:rsidRPr="00312233" w:rsidP="00312233">
            <w:pPr>
              <w:pStyle w:val="BodyText"/>
            </w:pPr>
            <w:r w:rsidRPr="00312233">
              <w:t>Element 5 added</w:t>
            </w:r>
          </w:p>
          <w:p w:rsidR="00000000" w:rsidRPr="00312233" w:rsidP="00312233">
            <w:pPr>
              <w:pStyle w:val="BodyText"/>
            </w:pPr>
            <w:r w:rsidRPr="00312233">
              <w:t>Foundation Skills refined</w:t>
            </w:r>
          </w:p>
          <w:p w:rsidR="00000000" w:rsidRPr="00312233" w:rsidP="00312233">
            <w:pPr>
              <w:pStyle w:val="BodyText"/>
            </w:pPr>
            <w:r w:rsidRPr="00312233">
              <w:t>Performance Evidence clarified</w:t>
            </w:r>
          </w:p>
          <w:p w:rsidR="00000000" w:rsidP="00312233">
            <w:pPr>
              <w:pStyle w:val="BodyText"/>
              <w:rPr>
                <w:lang w:val="en-NZ"/>
              </w:rPr>
            </w:pPr>
            <w:r w:rsidRPr="00312233">
              <w:t xml:space="preserve">Minor changes to Knowledge Evidence and Assessment Conditions to clarify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233" w:rsidP="00312233">
            <w:pPr>
              <w:pStyle w:val="BodyText"/>
            </w:pPr>
            <w:r w:rsidRPr="00312233">
              <w:t>Not equivalent</w:t>
            </w:r>
            <w:r w:rsidRPr="00312233">
              <w:t xml:space="preserve"> </w:t>
            </w:r>
          </w:p>
        </w:tc>
      </w:tr>
    </w:tbl>
    <w:p w:rsidR="00000000" w:rsidRPr="00312233" w:rsidP="00312233">
      <w:pPr>
        <w:pStyle w:val="BodyText"/>
      </w:pPr>
    </w:p>
    <w:p w:rsidR="00000000" w:rsidRPr="00312233" w:rsidP="00312233">
      <w:pPr>
        <w:pStyle w:val="AllowPageBreak"/>
      </w:pPr>
    </w:p>
    <w:p w:rsidR="00000000" w:rsidRPr="00312233" w:rsidP="00312233">
      <w:pPr>
        <w:pStyle w:val="Heading1"/>
      </w:pPr>
      <w:bookmarkStart w:id="8" w:name="O_1185840"/>
      <w:bookmarkEnd w:id="8"/>
      <w:r w:rsidRPr="00312233">
        <w:t>Links</w:t>
      </w:r>
    </w:p>
    <w:p w:rsidR="00000000" w:rsidRPr="00312233" w:rsidP="00A307EF">
      <w:pPr>
        <w:pStyle w:val="BodyText"/>
      </w:pPr>
      <w:r w:rsidRPr="003122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4F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12233" w:rsidP="00312233"/>
    <w:sectPr w:rsidSect="003122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233" w:rsidRPr="00A307EF" w:rsidP="00A30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EF" w:rsidP="00312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7EF" w:rsidP="00312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07EF" w:rsidP="00312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233" w:rsidRPr="00A307EF" w:rsidP="00A30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EF" w:rsidRPr="002D2AF8" w:rsidP="00312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FBPHVB3015 Operate and monitor a griddle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307EF" w:rsidP="00312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F0C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72A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233"/>
  </w:style>
  <w:style w:type="character" w:customStyle="1" w:styleId="Heading1Char">
    <w:name w:val="Heading 1 Char"/>
    <w:basedOn w:val="DefaultParagraphFont"/>
    <w:link w:val="Heading1"/>
    <w:rsid w:val="00312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2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23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12233"/>
    <w:rPr>
      <w:i/>
    </w:rPr>
  </w:style>
  <w:style w:type="paragraph" w:customStyle="1" w:styleId="SuperHeading">
    <w:name w:val="SuperHeading"/>
    <w:basedOn w:val="Normal"/>
    <w:rsid w:val="00312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2233"/>
    <w:rPr>
      <w:b/>
    </w:rPr>
  </w:style>
  <w:style w:type="character" w:customStyle="1" w:styleId="Heading2Char">
    <w:name w:val="Heading 2 Char"/>
    <w:basedOn w:val="DefaultParagraphFont"/>
    <w:link w:val="Heading2"/>
    <w:rsid w:val="00312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2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2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2233"/>
    <w:rPr>
      <w:b/>
      <w:spacing w:val="0"/>
    </w:rPr>
  </w:style>
  <w:style w:type="paragraph" w:customStyle="1" w:styleId="SuperTitle">
    <w:name w:val="SuperTitle"/>
    <w:basedOn w:val="Title"/>
    <w:rsid w:val="00312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2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2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233"/>
  </w:style>
  <w:style w:type="paragraph" w:styleId="TableofFigures">
    <w:name w:val="table of figures"/>
    <w:basedOn w:val="Normal"/>
    <w:next w:val="Normal"/>
    <w:semiHidden/>
    <w:rsid w:val="00312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2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233"/>
    <w:rPr>
      <w:rFonts w:ascii="Wingdings" w:hAnsi="Wingdings"/>
    </w:rPr>
  </w:style>
  <w:style w:type="paragraph" w:customStyle="1" w:styleId="TableHeading">
    <w:name w:val="Table Heading"/>
    <w:basedOn w:val="HeadingBase"/>
    <w:rsid w:val="00312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233"/>
    <w:rPr>
      <w:color w:val="0033CC"/>
      <w:u w:val="none"/>
    </w:rPr>
  </w:style>
  <w:style w:type="paragraph" w:customStyle="1" w:styleId="BodyTextRight">
    <w:name w:val="Body Text Right"/>
    <w:basedOn w:val="BodyText"/>
    <w:rsid w:val="00312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2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233"/>
    <w:rPr>
      <w:sz w:val="32"/>
    </w:rPr>
  </w:style>
  <w:style w:type="paragraph" w:customStyle="1" w:styleId="HeadingProcedure">
    <w:name w:val="Heading Procedure"/>
    <w:basedOn w:val="HeadingBase"/>
    <w:next w:val="Normal"/>
    <w:rsid w:val="00312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233"/>
    <w:pPr>
      <w:spacing w:before="60" w:after="60"/>
    </w:pPr>
  </w:style>
  <w:style w:type="paragraph" w:styleId="ListContinue">
    <w:name w:val="List Continue"/>
    <w:basedOn w:val="List"/>
    <w:rsid w:val="00312233"/>
    <w:pPr>
      <w:ind w:firstLine="0"/>
    </w:pPr>
  </w:style>
  <w:style w:type="paragraph" w:customStyle="1" w:styleId="ListNote">
    <w:name w:val="List Note"/>
    <w:basedOn w:val="List"/>
    <w:rsid w:val="00312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233"/>
    <w:rPr>
      <w:rFonts w:ascii="Courier New" w:hAnsi="Courier New"/>
    </w:rPr>
  </w:style>
  <w:style w:type="paragraph" w:customStyle="1" w:styleId="NoteBullet">
    <w:name w:val="Note Bullet"/>
    <w:basedOn w:val="Note"/>
    <w:rsid w:val="00312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2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233"/>
    <w:rPr>
      <w:b/>
      <w:smallCaps/>
    </w:rPr>
  </w:style>
  <w:style w:type="paragraph" w:customStyle="1" w:styleId="TableListNumber">
    <w:name w:val="Table List Number"/>
    <w:basedOn w:val="ListNumber"/>
    <w:rsid w:val="00312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233"/>
    <w:pPr>
      <w:numPr>
        <w:numId w:val="8"/>
      </w:numPr>
    </w:pPr>
  </w:style>
  <w:style w:type="paragraph" w:customStyle="1" w:styleId="ListAlpha2">
    <w:name w:val="List Alpha 2"/>
    <w:basedOn w:val="List2"/>
    <w:rsid w:val="00312233"/>
    <w:pPr>
      <w:numPr>
        <w:numId w:val="7"/>
      </w:numPr>
    </w:pPr>
  </w:style>
  <w:style w:type="paragraph" w:styleId="List2">
    <w:name w:val="List 2"/>
    <w:basedOn w:val="BodyText"/>
    <w:rsid w:val="00312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2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2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233"/>
    <w:pPr>
      <w:numPr>
        <w:numId w:val="3"/>
      </w:numPr>
    </w:pPr>
  </w:style>
  <w:style w:type="paragraph" w:styleId="ListContinue2">
    <w:name w:val="List Continue 2"/>
    <w:basedOn w:val="List2"/>
    <w:rsid w:val="00312233"/>
    <w:pPr>
      <w:ind w:firstLine="0"/>
    </w:pPr>
  </w:style>
  <w:style w:type="paragraph" w:styleId="ListContinue3">
    <w:name w:val="List Continue 3"/>
    <w:basedOn w:val="List3"/>
    <w:rsid w:val="00312233"/>
    <w:pPr>
      <w:ind w:left="1021" w:firstLine="0"/>
    </w:pPr>
  </w:style>
  <w:style w:type="paragraph" w:styleId="ListContinue4">
    <w:name w:val="List Continue 4"/>
    <w:basedOn w:val="List4"/>
    <w:rsid w:val="00312233"/>
    <w:pPr>
      <w:ind w:firstLine="0"/>
    </w:pPr>
  </w:style>
  <w:style w:type="paragraph" w:styleId="ListContinue5">
    <w:name w:val="List Continue 5"/>
    <w:basedOn w:val="List5"/>
    <w:rsid w:val="00312233"/>
    <w:pPr>
      <w:ind w:firstLine="0"/>
    </w:pPr>
  </w:style>
  <w:style w:type="paragraph" w:styleId="ListNumber3">
    <w:name w:val="List Number 3"/>
    <w:basedOn w:val="List3"/>
    <w:rsid w:val="00312233"/>
    <w:pPr>
      <w:numPr>
        <w:numId w:val="4"/>
      </w:numPr>
    </w:pPr>
  </w:style>
  <w:style w:type="paragraph" w:styleId="ListNumber4">
    <w:name w:val="List Number 4"/>
    <w:basedOn w:val="List4"/>
    <w:rsid w:val="00312233"/>
    <w:pPr>
      <w:numPr>
        <w:numId w:val="5"/>
      </w:numPr>
    </w:pPr>
  </w:style>
  <w:style w:type="paragraph" w:styleId="ListNumber5">
    <w:name w:val="List Number 5"/>
    <w:basedOn w:val="List5"/>
    <w:rsid w:val="00312233"/>
    <w:pPr>
      <w:numPr>
        <w:numId w:val="6"/>
      </w:numPr>
    </w:pPr>
  </w:style>
  <w:style w:type="paragraph" w:styleId="BlockText">
    <w:name w:val="Block Text"/>
    <w:basedOn w:val="Normal"/>
    <w:rsid w:val="00312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233"/>
    <w:rPr>
      <w:sz w:val="16"/>
      <w:vertAlign w:val="superscript"/>
    </w:rPr>
  </w:style>
  <w:style w:type="character" w:customStyle="1" w:styleId="Symbols">
    <w:name w:val="Symbols"/>
    <w:basedOn w:val="DefaultParagraphFont"/>
    <w:rsid w:val="00312233"/>
    <w:rPr>
      <w:rFonts w:ascii="Symbol" w:hAnsi="Symbol"/>
    </w:rPr>
  </w:style>
  <w:style w:type="character" w:customStyle="1" w:styleId="MenuOptions">
    <w:name w:val="Menu Options"/>
    <w:basedOn w:val="DefaultParagraphFont"/>
    <w:rsid w:val="00312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233"/>
    <w:rPr>
      <w:b/>
    </w:rPr>
  </w:style>
  <w:style w:type="character" w:customStyle="1" w:styleId="Underlined">
    <w:name w:val="Underlined"/>
    <w:basedOn w:val="DefaultParagraphFont"/>
    <w:rsid w:val="00312233"/>
    <w:rPr>
      <w:u w:val="single"/>
    </w:rPr>
  </w:style>
  <w:style w:type="paragraph" w:customStyle="1" w:styleId="TableBodyTextRight">
    <w:name w:val="Table Body Text Right"/>
    <w:basedOn w:val="TableBodyText"/>
    <w:rsid w:val="00312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233"/>
    <w:rPr>
      <w:sz w:val="18"/>
    </w:rPr>
  </w:style>
  <w:style w:type="paragraph" w:customStyle="1" w:styleId="BodySmallRight">
    <w:name w:val="Body Small Right"/>
    <w:basedOn w:val="BodyTextRight"/>
    <w:rsid w:val="00312233"/>
    <w:rPr>
      <w:sz w:val="18"/>
      <w:szCs w:val="18"/>
    </w:rPr>
  </w:style>
  <w:style w:type="paragraph" w:customStyle="1" w:styleId="MarginEdition">
    <w:name w:val="Margin Edition"/>
    <w:basedOn w:val="MarginNote"/>
    <w:rsid w:val="00312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233"/>
    <w:rPr>
      <w:sz w:val="2"/>
      <w:szCs w:val="2"/>
    </w:rPr>
  </w:style>
  <w:style w:type="character" w:customStyle="1" w:styleId="Small">
    <w:name w:val="Small"/>
    <w:basedOn w:val="DefaultParagraphFont"/>
    <w:rsid w:val="00312233"/>
    <w:rPr>
      <w:sz w:val="16"/>
    </w:rPr>
  </w:style>
  <w:style w:type="paragraph" w:customStyle="1" w:styleId="WideTable">
    <w:name w:val="Wide Table"/>
    <w:basedOn w:val="Normal"/>
    <w:rsid w:val="00312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233"/>
  </w:style>
  <w:style w:type="paragraph" w:styleId="Quote">
    <w:name w:val="Quote"/>
    <w:basedOn w:val="Heading1"/>
    <w:link w:val="QuoteChar"/>
    <w:qFormat/>
    <w:rsid w:val="00312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233"/>
    <w:pPr>
      <w:pageBreakBefore/>
    </w:pPr>
  </w:style>
  <w:style w:type="paragraph" w:customStyle="1" w:styleId="Border">
    <w:name w:val="Border"/>
    <w:basedOn w:val="Normal"/>
    <w:qFormat/>
    <w:rsid w:val="00312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233"/>
    <w:rPr>
      <w:u w:val="single"/>
    </w:rPr>
  </w:style>
  <w:style w:type="character" w:customStyle="1" w:styleId="BoldandItalics">
    <w:name w:val="Bold and Italics"/>
    <w:qFormat/>
    <w:rsid w:val="00312233"/>
    <w:rPr>
      <w:b/>
      <w:i/>
      <w:u w:val="none"/>
    </w:rPr>
  </w:style>
  <w:style w:type="paragraph" w:styleId="BalloonText">
    <w:name w:val="Balloon Text"/>
    <w:basedOn w:val="Normal"/>
    <w:link w:val="BalloonTextChar"/>
    <w:rsid w:val="00312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2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0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4129</Characters>
  <Application>Microsoft Office Word</Application>
  <DocSecurity>0</DocSecurity>
  <Lines>147</Lines>
  <Paragraphs>93</Paragraphs>
  <ScaleCrop>false</ScaleCrop>
  <Company>Author-it Software Corporation Ltd.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FBPHVB3015 Operate and monitor a griddle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