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0120" w:rsidP="00A701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FBPHVB3006 Operate and monitor a forming or shaping process</w:t>
      </w:r>
      <w:r>
        <w:fldChar w:fldCharType="end"/>
      </w:r>
    </w:p>
    <w:p w:rsidR="00A70120" w:rsidP="00A70120">
      <w:pPr>
        <w:pStyle w:val="Version"/>
        <w:sectPr w:rsidSect="00E55D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5DC1" w:rsidP="00E55DC1">
      <w:pPr>
        <w:pStyle w:val="SuperHeading"/>
      </w:pPr>
      <w:r w:rsidRPr="00E55DC1">
        <w:t>FBPHVB3006 Operate and monitor a forming or shaping process</w:t>
      </w:r>
    </w:p>
    <w:p w:rsidR="00000000" w:rsidRPr="00E55DC1" w:rsidP="00E55DC1">
      <w:pPr>
        <w:pStyle w:val="Heading1"/>
      </w:pPr>
      <w:bookmarkStart w:id="1" w:name="O_1185627"/>
      <w:bookmarkEnd w:id="1"/>
      <w:r w:rsidRPr="00E55DC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55D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C1">
            <w:pPr>
              <w:pStyle w:val="BodyTextBold"/>
              <w:rPr>
                <w:lang w:val="en-NZ"/>
              </w:rPr>
            </w:pPr>
            <w:r w:rsidRPr="00E55DC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C1">
            <w:pPr>
              <w:pStyle w:val="BodyTextBold"/>
              <w:rPr>
                <w:lang w:val="en-NZ"/>
              </w:rPr>
            </w:pPr>
            <w:r w:rsidRPr="00E55DC1">
              <w:t>Comments</w:t>
            </w:r>
          </w:p>
        </w:tc>
      </w:tr>
      <w:tr w:rsidTr="00E55D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C1">
            <w:pPr>
              <w:pStyle w:val="BodyText"/>
              <w:rPr>
                <w:lang w:val="en-NZ"/>
              </w:rPr>
            </w:pPr>
            <w:r w:rsidRPr="00E55DC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C1" w:rsidP="00E55DC1">
            <w:pPr>
              <w:pStyle w:val="BodyText"/>
            </w:pPr>
            <w:r w:rsidRPr="00E55DC1">
              <w:t>This version released with FBP Food, Beverage and Pharmaceutical Training Package Version 6.0.</w:t>
            </w:r>
          </w:p>
        </w:tc>
      </w:tr>
    </w:tbl>
    <w:p w:rsidR="00000000" w:rsidRPr="00E55DC1" w:rsidP="00E55DC1">
      <w:pPr>
        <w:pStyle w:val="BodyText"/>
      </w:pPr>
    </w:p>
    <w:p w:rsidR="00000000" w:rsidRPr="00E55DC1" w:rsidP="00E55DC1">
      <w:pPr>
        <w:pStyle w:val="AllowPageBreak"/>
      </w:pPr>
    </w:p>
    <w:p w:rsidR="00000000" w:rsidRPr="00E55DC1" w:rsidP="00E55DC1">
      <w:pPr>
        <w:pStyle w:val="Heading1"/>
      </w:pPr>
      <w:bookmarkStart w:id="2" w:name="O_1185628"/>
      <w:bookmarkEnd w:id="2"/>
      <w:r w:rsidRPr="00E55DC1">
        <w:t>Application</w:t>
      </w:r>
    </w:p>
    <w:p w:rsidR="00000000" w:rsidRPr="00E55DC1" w:rsidP="00A70120">
      <w:pPr>
        <w:pStyle w:val="BodyText"/>
      </w:pPr>
      <w:r w:rsidRPr="00E55DC1">
        <w:t>This unit of competency describes the skills and knowledge re</w:t>
      </w:r>
      <w:r w:rsidRPr="00E55DC1">
        <w:t>quired to set up, operate, adjust and shut down a biscuit forming or shaping process.</w:t>
      </w:r>
    </w:p>
    <w:p w:rsidR="00000000" w:rsidRPr="00E55DC1" w:rsidP="00A70120">
      <w:pPr>
        <w:pStyle w:val="BodyText"/>
      </w:pPr>
      <w:r w:rsidRPr="00E55DC1">
        <w:t>This unit applies to individuals who take responsibility for the operation and monitoring of processing machines and equipment to form and shape biscuit dough. The work i</w:t>
      </w:r>
      <w:r w:rsidRPr="00E55DC1">
        <w:t>ncludes identifying and providing solutions to routine and some non-routine problems. Biscuits may be for human consumption or animal feed.</w:t>
      </w:r>
    </w:p>
    <w:p w:rsidR="00000000" w:rsidRPr="00E55DC1" w:rsidP="00A70120">
      <w:pPr>
        <w:pStyle w:val="BodyText"/>
      </w:pPr>
      <w:r w:rsidRPr="00E55DC1">
        <w:t xml:space="preserve">All work must be carried out to comply with workplace procedures according to state/territory health and safety and </w:t>
      </w:r>
      <w:r w:rsidRPr="00E55DC1">
        <w:t>food safety regulations, legislation and standards that apply to the workplace.</w:t>
      </w:r>
    </w:p>
    <w:p w:rsidR="00000000" w:rsidRPr="00E55DC1" w:rsidP="00A70120">
      <w:pPr>
        <w:pStyle w:val="BodyText"/>
      </w:pPr>
      <w:r w:rsidRPr="00E55DC1">
        <w:t>No licensing, legislative or certification requirements apply to this unit at the time of publication.</w:t>
      </w:r>
    </w:p>
    <w:p w:rsidR="00000000" w:rsidRPr="00E55DC1" w:rsidP="00E55DC1">
      <w:pPr>
        <w:pStyle w:val="Heading1"/>
      </w:pPr>
      <w:bookmarkStart w:id="3" w:name="O_1185629"/>
      <w:bookmarkEnd w:id="3"/>
      <w:r w:rsidRPr="00E55DC1">
        <w:t>Pre-requisite Unit</w:t>
      </w:r>
    </w:p>
    <w:p w:rsidR="00000000" w:rsidRPr="00E55DC1" w:rsidP="00A70120">
      <w:pPr>
        <w:pStyle w:val="BodyText"/>
      </w:pPr>
      <w:r w:rsidRPr="00E55DC1">
        <w:t>Nil</w:t>
      </w:r>
    </w:p>
    <w:p w:rsidR="00000000" w:rsidRPr="00E55DC1" w:rsidP="00E55DC1">
      <w:pPr>
        <w:pStyle w:val="Heading1"/>
      </w:pPr>
      <w:bookmarkStart w:id="4" w:name="O_1185631"/>
      <w:bookmarkEnd w:id="4"/>
      <w:r w:rsidRPr="00E55DC1">
        <w:t>Unit Sector</w:t>
      </w:r>
    </w:p>
    <w:p w:rsidR="00000000" w:rsidRPr="00E55DC1" w:rsidP="00A70120">
      <w:pPr>
        <w:pStyle w:val="BodyText"/>
      </w:pPr>
      <w:r w:rsidRPr="00E55DC1">
        <w:t>High Volume Baking (HVB)</w:t>
      </w:r>
    </w:p>
    <w:p w:rsidR="00000000" w:rsidRPr="00E55DC1" w:rsidP="00E55DC1">
      <w:pPr>
        <w:pStyle w:val="Heading1"/>
      </w:pPr>
      <w:bookmarkStart w:id="5" w:name="O_1185632"/>
      <w:bookmarkEnd w:id="5"/>
      <w:r w:rsidRPr="00E55DC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701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C1">
            <w:pPr>
              <w:pStyle w:val="BodyTextBold"/>
              <w:rPr>
                <w:lang w:val="en-NZ"/>
              </w:rPr>
            </w:pPr>
            <w:r w:rsidRPr="00E55DC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C1">
            <w:pPr>
              <w:pStyle w:val="BodyTextBold"/>
              <w:rPr>
                <w:lang w:val="en-NZ"/>
              </w:rPr>
            </w:pPr>
            <w:r w:rsidRPr="00E55DC1">
              <w:t>Performance Criteria</w:t>
            </w:r>
          </w:p>
        </w:tc>
      </w:tr>
      <w:tr w:rsidTr="00A701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C1" w:rsidP="00E55DC1">
            <w:pPr>
              <w:pStyle w:val="BodyText"/>
            </w:pPr>
            <w:r w:rsidRPr="00E55DC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C1">
            <w:pPr>
              <w:pStyle w:val="BodyText"/>
              <w:rPr>
                <w:lang w:val="en-NZ"/>
              </w:rPr>
            </w:pPr>
            <w:r w:rsidRPr="00E55D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01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C1">
            <w:pPr>
              <w:pStyle w:val="BodyText"/>
              <w:rPr>
                <w:lang w:val="en-NZ"/>
              </w:rPr>
            </w:pPr>
            <w:r w:rsidRPr="00E55DC1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C1" w:rsidP="00E55DC1">
            <w:pPr>
              <w:pStyle w:val="BodyText"/>
            </w:pPr>
            <w:r w:rsidRPr="00E55DC1">
              <w:t>1.1 Interpret work instructions from supervisor and clarify where required</w:t>
            </w:r>
          </w:p>
          <w:p w:rsidR="00000000" w:rsidRPr="00E55DC1" w:rsidP="00E55DC1">
            <w:pPr>
              <w:pStyle w:val="BodyText"/>
            </w:pPr>
            <w:r w:rsidRPr="00E55DC1">
              <w:t>1.2 Identify health and safety hazards and inform supervisor</w:t>
            </w:r>
          </w:p>
          <w:p w:rsidR="00000000" w:rsidRPr="00E55DC1" w:rsidP="00E55DC1">
            <w:pPr>
              <w:pStyle w:val="BodyText"/>
            </w:pPr>
            <w:r w:rsidRPr="00E55DC1">
              <w:t>1.3 Wear appropriate personal protective equipment and clothing and ensure correc</w:t>
            </w:r>
            <w:r w:rsidRPr="00E55DC1">
              <w:t xml:space="preserve">t fit </w:t>
            </w:r>
          </w:p>
          <w:p w:rsidR="00000000" w:rsidRPr="00E55DC1" w:rsidP="00E55DC1">
            <w:pPr>
              <w:pStyle w:val="BodyText"/>
            </w:pPr>
            <w:r w:rsidRPr="00E55DC1">
              <w:t>1.4 Confirm materials and ingredients are available to meet operating and food safety requirements</w:t>
            </w:r>
          </w:p>
          <w:p w:rsidR="00000000" w:rsidRPr="00E55DC1" w:rsidP="00E55DC1">
            <w:pPr>
              <w:pStyle w:val="BodyText"/>
            </w:pPr>
            <w:r w:rsidRPr="00E55DC1">
              <w:t>1.5 Confirm equipment and services are available</w:t>
            </w:r>
          </w:p>
          <w:p w:rsidR="00000000" w:rsidP="00E55DC1">
            <w:pPr>
              <w:pStyle w:val="BodyText"/>
              <w:rPr>
                <w:lang w:val="en-NZ"/>
              </w:rPr>
            </w:pPr>
            <w:r w:rsidRPr="00E55DC1">
              <w:t>1.6 Confirm equipment is clean and maintenance requirements have been met, according to health, safety and food safety requirements</w:t>
            </w:r>
          </w:p>
        </w:tc>
      </w:tr>
      <w:tr w:rsidTr="00A701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C1">
            <w:pPr>
              <w:pStyle w:val="BodyText"/>
              <w:rPr>
                <w:lang w:val="en-NZ"/>
              </w:rPr>
            </w:pPr>
            <w:r w:rsidRPr="00E55DC1">
              <w:t>2. Prepare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C1" w:rsidP="00E55DC1">
            <w:pPr>
              <w:pStyle w:val="BodyText"/>
            </w:pPr>
            <w:r w:rsidRPr="00E55DC1">
              <w:t>2.1 Fit and adjust machine components and related attachments according to operating requirements</w:t>
            </w:r>
          </w:p>
          <w:p w:rsidR="00000000" w:rsidRPr="00E55DC1" w:rsidP="00E55DC1">
            <w:pPr>
              <w:pStyle w:val="BodyText"/>
            </w:pPr>
            <w:r w:rsidRPr="00E55DC1">
              <w:t>2.2 Enter processing or operating parameters to meet safety and production requirements</w:t>
            </w:r>
          </w:p>
          <w:p w:rsidR="00000000" w:rsidRPr="00E55DC1" w:rsidP="00E55DC1">
            <w:pPr>
              <w:pStyle w:val="BodyText"/>
            </w:pPr>
            <w:r w:rsidRPr="00E55DC1">
              <w:t>2.3 Check and adjust equipment performance according to operating requirements</w:t>
            </w:r>
          </w:p>
          <w:p w:rsidR="00000000" w:rsidP="00E55DC1">
            <w:pPr>
              <w:pStyle w:val="BodyText"/>
              <w:rPr>
                <w:lang w:val="en-NZ"/>
              </w:rPr>
            </w:pPr>
            <w:r w:rsidRPr="00E55DC1">
              <w:t>2.4 Carry out pre-start checks according to operator instructions</w:t>
            </w:r>
          </w:p>
        </w:tc>
      </w:tr>
      <w:tr w:rsidTr="00A701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C1">
            <w:pPr>
              <w:pStyle w:val="BodyText"/>
              <w:rPr>
                <w:lang w:val="en-NZ"/>
              </w:rPr>
            </w:pPr>
            <w:r w:rsidRPr="00E55DC1">
              <w:t>3. Operate and monitor</w:t>
            </w:r>
            <w:r w:rsidRPr="00E55DC1">
              <w:t xml:space="preserve">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C1" w:rsidP="00E55DC1">
            <w:pPr>
              <w:pStyle w:val="BodyText"/>
            </w:pPr>
            <w:r w:rsidRPr="00E55DC1">
              <w:t>3.1 Start, operate and monitor the process for variation in operating conditions according to safe operating requirements</w:t>
            </w:r>
          </w:p>
          <w:p w:rsidR="00000000" w:rsidRPr="00E55DC1" w:rsidP="00E55DC1">
            <w:pPr>
              <w:pStyle w:val="BodyText"/>
            </w:pPr>
            <w:r w:rsidRPr="00E55DC1">
              <w:t>3.2 Monitor the process to confirm that formed product is produced to specification</w:t>
            </w:r>
          </w:p>
          <w:p w:rsidR="00000000" w:rsidP="00E55DC1">
            <w:pPr>
              <w:pStyle w:val="BodyText"/>
              <w:rPr>
                <w:lang w:val="en-NZ"/>
              </w:rPr>
            </w:pPr>
            <w:r w:rsidRPr="00E55DC1">
              <w:t>3.3 Identify, rectify and report out-of</w:t>
            </w:r>
            <w:r w:rsidRPr="00E55DC1">
              <w:t>-specification equipment, product or process outcomes according to workplace requirements</w:t>
            </w:r>
          </w:p>
        </w:tc>
      </w:tr>
      <w:tr w:rsidTr="00A701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C1">
            <w:pPr>
              <w:pStyle w:val="BodyText"/>
              <w:rPr>
                <w:lang w:val="en-NZ"/>
              </w:rPr>
            </w:pPr>
            <w:r w:rsidRPr="00E55DC1">
              <w:t xml:space="preserve">4. Complete the process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C1" w:rsidP="00E55DC1">
            <w:pPr>
              <w:pStyle w:val="BodyText"/>
            </w:pPr>
            <w:r w:rsidRPr="00E55DC1">
              <w:t>4.1 Identify the appropriate shutdown procedure and implement safely</w:t>
            </w:r>
          </w:p>
          <w:p w:rsidR="00000000" w:rsidRPr="00E55DC1" w:rsidP="00E55DC1">
            <w:pPr>
              <w:pStyle w:val="BodyText"/>
            </w:pPr>
            <w:r w:rsidRPr="00E55DC1">
              <w:t>4.2 Report maintenance requirements according to workplace procedures</w:t>
            </w:r>
          </w:p>
          <w:p w:rsidR="00000000" w:rsidRPr="00E55DC1" w:rsidP="00E55DC1">
            <w:pPr>
              <w:pStyle w:val="ListBullet"/>
            </w:pPr>
            <w:r w:rsidRPr="00E55DC1">
              <w:t>4.3 Maintain work area to meet housekeeping standards</w:t>
            </w:r>
          </w:p>
          <w:p w:rsidR="00000000" w:rsidP="00E55DC1">
            <w:pPr>
              <w:pStyle w:val="BodyText"/>
              <w:rPr>
                <w:lang w:val="en-NZ"/>
              </w:rPr>
            </w:pPr>
            <w:r w:rsidRPr="00E55DC1">
              <w:t>4.4 Maintain workplace records in required format</w:t>
            </w:r>
          </w:p>
        </w:tc>
      </w:tr>
      <w:tr w:rsidTr="00A701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C1" w:rsidP="00E55DC1">
            <w:pPr>
              <w:pStyle w:val="BodyText"/>
            </w:pPr>
            <w:r w:rsidRPr="00E55DC1">
              <w:t>5. Recognise and correct common faults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C1" w:rsidP="00E55DC1">
            <w:pPr>
              <w:pStyle w:val="BodyText"/>
            </w:pPr>
            <w:r w:rsidRPr="00E55DC1">
              <w:t>5.1 Take samples and check formed biscuits to ensure they meet specifications</w:t>
            </w:r>
          </w:p>
          <w:p w:rsidR="00000000" w:rsidRPr="00E55DC1" w:rsidP="00E55DC1">
            <w:pPr>
              <w:pStyle w:val="BodyText"/>
            </w:pPr>
            <w:r w:rsidRPr="00E55DC1">
              <w:t>5.2 Identify causes of any common faults, rectify and report product or process outcomes according to workplace requirements</w:t>
            </w:r>
          </w:p>
          <w:p w:rsidR="00000000" w:rsidRPr="00E55DC1" w:rsidP="00E55DC1">
            <w:pPr>
              <w:pStyle w:val="BodyText"/>
            </w:pPr>
            <w:r w:rsidRPr="00E55DC1">
              <w:t>5.3 Discard faulty products according to workplace and environmental guidelines</w:t>
            </w:r>
          </w:p>
        </w:tc>
      </w:tr>
    </w:tbl>
    <w:p w:rsidR="00000000" w:rsidRPr="00E55DC1" w:rsidP="00E55DC1">
      <w:pPr>
        <w:pStyle w:val="BodyText"/>
      </w:pPr>
    </w:p>
    <w:p w:rsidR="00000000" w:rsidRPr="00E55DC1" w:rsidP="00E55DC1">
      <w:pPr>
        <w:pStyle w:val="AllowPageBreak"/>
      </w:pPr>
    </w:p>
    <w:p w:rsidR="00000000" w:rsidRPr="00E55DC1" w:rsidP="00E55DC1">
      <w:pPr>
        <w:pStyle w:val="Heading1"/>
      </w:pPr>
      <w:bookmarkStart w:id="6" w:name="O_1185633"/>
      <w:bookmarkEnd w:id="6"/>
      <w:r w:rsidRPr="00E55DC1">
        <w:t>Foundation Skills</w:t>
      </w:r>
    </w:p>
    <w:p w:rsidR="00000000" w:rsidRPr="00A70120" w:rsidP="00A70120">
      <w:pPr>
        <w:pStyle w:val="BodyText"/>
        <w:rPr>
          <w:i/>
        </w:rPr>
      </w:pPr>
      <w:r w:rsidRPr="00A70120">
        <w:rPr>
          <w:rStyle w:val="Emphasis"/>
        </w:rPr>
        <w:t>This section</w:t>
      </w:r>
      <w:r w:rsidRPr="00A70120">
        <w:rPr>
          <w:rStyle w:val="Emphasis"/>
        </w:rPr>
        <w:t xml:space="preserve">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55D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C1">
            <w:pPr>
              <w:pStyle w:val="BodyTextBold"/>
              <w:rPr>
                <w:lang w:val="en-NZ"/>
              </w:rPr>
            </w:pPr>
            <w:r w:rsidRPr="00E55DC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C1">
            <w:pPr>
              <w:pStyle w:val="BodyTextBold"/>
              <w:rPr>
                <w:lang w:val="en-NZ"/>
              </w:rPr>
            </w:pPr>
            <w:r w:rsidRPr="00E55DC1">
              <w:t>Description</w:t>
            </w:r>
          </w:p>
        </w:tc>
      </w:tr>
      <w:tr w:rsidTr="00E55D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C1">
            <w:pPr>
              <w:pStyle w:val="BodyText"/>
              <w:rPr>
                <w:lang w:val="en-NZ"/>
              </w:rPr>
            </w:pPr>
            <w:r w:rsidRPr="00E55DC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C1" w:rsidP="00E55DC1">
            <w:pPr>
              <w:pStyle w:val="ListBullet"/>
            </w:pPr>
            <w:r w:rsidRPr="00E55DC1">
              <w:t>Interpret workplace and standa</w:t>
            </w:r>
            <w:r w:rsidRPr="00E55DC1">
              <w:t xml:space="preserve">rd operating procedures </w:t>
            </w:r>
          </w:p>
          <w:p w:rsidR="00000000" w:rsidRPr="00E55DC1" w:rsidP="00E55DC1">
            <w:pPr>
              <w:pStyle w:val="ListBullet"/>
            </w:pPr>
            <w:r w:rsidRPr="00E55DC1">
              <w:t>Interpret production requirements</w:t>
            </w:r>
          </w:p>
          <w:p w:rsidR="00000000" w:rsidP="00E55DC1">
            <w:pPr>
              <w:pStyle w:val="ListBullet"/>
              <w:rPr>
                <w:lang w:val="en-NZ"/>
              </w:rPr>
            </w:pPr>
            <w:r w:rsidRPr="00E55DC1">
              <w:t>Interact with process control screens</w:t>
            </w:r>
          </w:p>
        </w:tc>
      </w:tr>
      <w:tr w:rsidTr="00E55D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C1">
            <w:pPr>
              <w:pStyle w:val="BodyText"/>
              <w:rPr>
                <w:lang w:val="en-NZ"/>
              </w:rPr>
            </w:pPr>
            <w:r w:rsidRPr="00E55DC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C1">
            <w:pPr>
              <w:pStyle w:val="ListBullet"/>
              <w:rPr>
                <w:lang w:val="en-NZ"/>
              </w:rPr>
            </w:pPr>
            <w:r w:rsidRPr="00E55DC1">
              <w:t>Record processing data using digital and/or paper-based formats</w:t>
            </w:r>
          </w:p>
        </w:tc>
      </w:tr>
      <w:tr w:rsidTr="00E55D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C1">
            <w:pPr>
              <w:pStyle w:val="BodyText"/>
              <w:rPr>
                <w:lang w:val="en-NZ"/>
              </w:rPr>
            </w:pPr>
            <w:r w:rsidRPr="00E55DC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C1" w:rsidP="00E55DC1">
            <w:pPr>
              <w:pStyle w:val="ListBullet"/>
            </w:pPr>
            <w:r w:rsidRPr="00E55DC1">
              <w:t>Accurately interpret readings on gauges and scales</w:t>
            </w:r>
          </w:p>
          <w:p w:rsidR="00000000" w:rsidRPr="00E55DC1" w:rsidP="00E55DC1">
            <w:pPr>
              <w:pStyle w:val="ListBullet"/>
            </w:pPr>
            <w:r w:rsidRPr="00E55DC1">
              <w:t>Use basic arithmetic to calculate quantities</w:t>
            </w:r>
          </w:p>
          <w:p w:rsidR="00000000" w:rsidRPr="00E55DC1" w:rsidP="00E55DC1">
            <w:pPr>
              <w:pStyle w:val="ListBullet"/>
            </w:pPr>
            <w:r w:rsidRPr="00E55DC1">
              <w:t>Measure size (mm, cm) and weight (mg, g, kg) of product against specifications</w:t>
            </w:r>
          </w:p>
        </w:tc>
      </w:tr>
    </w:tbl>
    <w:p w:rsidR="00000000" w:rsidRPr="00E55DC1" w:rsidP="00E55DC1">
      <w:pPr>
        <w:pStyle w:val="BodyText"/>
      </w:pPr>
    </w:p>
    <w:p w:rsidR="00000000" w:rsidRPr="00E55DC1" w:rsidP="00E55DC1">
      <w:pPr>
        <w:pStyle w:val="AllowPageBreak"/>
      </w:pPr>
    </w:p>
    <w:p w:rsidR="00000000" w:rsidRPr="00E55DC1" w:rsidP="00E55DC1">
      <w:pPr>
        <w:pStyle w:val="Heading1"/>
      </w:pPr>
      <w:bookmarkStart w:id="7" w:name="O_1185635"/>
      <w:bookmarkEnd w:id="7"/>
      <w:r w:rsidRPr="00E55DC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55D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C1">
            <w:pPr>
              <w:pStyle w:val="BodyTextBold"/>
              <w:rPr>
                <w:lang w:val="en-NZ"/>
              </w:rPr>
            </w:pPr>
            <w:r w:rsidRPr="00E55DC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C1">
            <w:pPr>
              <w:pStyle w:val="BodyTextBold"/>
              <w:rPr>
                <w:lang w:val="en-NZ"/>
              </w:rPr>
            </w:pPr>
            <w:r w:rsidRPr="00E55DC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C1">
            <w:pPr>
              <w:pStyle w:val="BodyTextBold"/>
              <w:rPr>
                <w:lang w:val="en-NZ"/>
              </w:rPr>
            </w:pPr>
            <w:r w:rsidRPr="00E55DC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C1">
            <w:pPr>
              <w:pStyle w:val="BodyTextBold"/>
              <w:rPr>
                <w:lang w:val="en-NZ"/>
              </w:rPr>
            </w:pPr>
            <w:r w:rsidRPr="00E55DC1">
              <w:t>Equivalence st</w:t>
            </w:r>
            <w:r w:rsidRPr="00E55DC1">
              <w:t>atus</w:t>
            </w:r>
          </w:p>
        </w:tc>
      </w:tr>
      <w:tr w:rsidTr="00E55D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C1">
            <w:pPr>
              <w:pStyle w:val="BodyText"/>
              <w:rPr>
                <w:lang w:val="en-NZ"/>
              </w:rPr>
            </w:pPr>
            <w:r w:rsidRPr="00E55DC1">
              <w:t>FBPHVB3006 Operate and monitor a forming or shaping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C1">
            <w:pPr>
              <w:pStyle w:val="BodyText"/>
              <w:rPr>
                <w:lang w:val="en-NZ"/>
              </w:rPr>
            </w:pPr>
            <w:r w:rsidRPr="00E55DC1">
              <w:t>FBPOPR2025 Manufacture extruded and toasted products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C1">
            <w:pPr>
              <w:pStyle w:val="BodyText"/>
              <w:rPr>
                <w:lang w:val="en-NZ"/>
              </w:rPr>
            </w:pPr>
            <w:r w:rsidRPr="00E55DC1">
              <w:t>Redesigned unit merging FBPOPR2025 and FBPOPR2026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C1">
            <w:pPr>
              <w:pStyle w:val="BodyText"/>
              <w:rPr>
                <w:lang w:val="en-NZ"/>
              </w:rPr>
            </w:pPr>
            <w:r w:rsidRPr="00E55DC1">
              <w:t>Not equivalent</w:t>
            </w:r>
          </w:p>
        </w:tc>
      </w:tr>
      <w:tr w:rsidTr="00E55D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C1">
            <w:pPr>
              <w:pStyle w:val="BodyText"/>
              <w:rPr>
                <w:lang w:val="en-NZ"/>
              </w:rPr>
            </w:pPr>
            <w:r w:rsidRPr="00E55DC1">
              <w:t>FBPHVB3006 Operate and monitor a forming or shaping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C1">
            <w:pPr>
              <w:pStyle w:val="BodyText"/>
              <w:rPr>
                <w:lang w:val="en-NZ"/>
              </w:rPr>
            </w:pPr>
            <w:r w:rsidRPr="00E55DC1">
              <w:t>FBPOPR2026 OPerate a forming or shaping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C1">
            <w:pPr>
              <w:pStyle w:val="BodyText"/>
              <w:rPr>
                <w:lang w:val="en-NZ"/>
              </w:rPr>
            </w:pPr>
            <w:r w:rsidRPr="00E55DC1">
              <w:t>Redesigned unit merging FBPOPR2025 and FBPOPR2026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C1" w:rsidP="00E55DC1">
            <w:pPr>
              <w:pStyle w:val="BodyText"/>
            </w:pPr>
            <w:r w:rsidRPr="00E55DC1">
              <w:t>Not equivalent</w:t>
            </w:r>
          </w:p>
        </w:tc>
      </w:tr>
    </w:tbl>
    <w:p w:rsidR="00000000" w:rsidRPr="00E55DC1" w:rsidP="00E55DC1">
      <w:pPr>
        <w:pStyle w:val="BodyText"/>
      </w:pPr>
    </w:p>
    <w:p w:rsidR="00000000" w:rsidRPr="00E55DC1" w:rsidP="00E55DC1">
      <w:pPr>
        <w:pStyle w:val="AllowPageBreak"/>
      </w:pPr>
    </w:p>
    <w:p w:rsidR="00000000" w:rsidRPr="00E55DC1" w:rsidP="00E55DC1">
      <w:pPr>
        <w:pStyle w:val="Heading1"/>
      </w:pPr>
      <w:bookmarkStart w:id="8" w:name="O_1185642"/>
      <w:bookmarkEnd w:id="8"/>
      <w:r w:rsidRPr="00E55DC1">
        <w:t>Links</w:t>
      </w:r>
    </w:p>
    <w:p w:rsidR="00000000" w:rsidRPr="00E55DC1" w:rsidP="00A70120">
      <w:pPr>
        <w:pStyle w:val="BodyText"/>
      </w:pPr>
      <w:r w:rsidRPr="00E55DC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374C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55DC1" w:rsidP="00E55DC1"/>
    <w:sectPr w:rsidSect="00E55D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D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DC1" w:rsidRPr="00A70120" w:rsidP="00A701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D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120" w:rsidP="00E55D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0120" w:rsidP="00E55D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70120" w:rsidP="00E55D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D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1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5DC1" w:rsidRPr="00A70120" w:rsidP="00A701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D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120" w:rsidRPr="002D2AF8" w:rsidP="00E55D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FBPHVB3006 Operate and monitor a forming or shaping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A70120" w:rsidP="00E55D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7ED5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A6CF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D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5D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5D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5D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5D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5D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5D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5D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5D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5D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5D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5DC1"/>
  </w:style>
  <w:style w:type="character" w:customStyle="1" w:styleId="Heading1Char">
    <w:name w:val="Heading 1 Char"/>
    <w:basedOn w:val="DefaultParagraphFont"/>
    <w:link w:val="Heading1"/>
    <w:rsid w:val="00E55D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5D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5D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5DC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55DC1"/>
    <w:rPr>
      <w:i/>
    </w:rPr>
  </w:style>
  <w:style w:type="paragraph" w:customStyle="1" w:styleId="SuperHeading">
    <w:name w:val="SuperHeading"/>
    <w:basedOn w:val="Normal"/>
    <w:rsid w:val="00E55D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5D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55DC1"/>
    <w:rPr>
      <w:b/>
    </w:rPr>
  </w:style>
  <w:style w:type="character" w:customStyle="1" w:styleId="Heading2Char">
    <w:name w:val="Heading 2 Char"/>
    <w:basedOn w:val="DefaultParagraphFont"/>
    <w:link w:val="Heading2"/>
    <w:rsid w:val="00E55D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5D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5D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5D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5D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5D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5D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5D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5D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5D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5D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5D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5D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5D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5D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5D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5D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5D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5D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5D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5DC1"/>
    <w:rPr>
      <w:b/>
      <w:spacing w:val="0"/>
    </w:rPr>
  </w:style>
  <w:style w:type="paragraph" w:customStyle="1" w:styleId="SuperTitle">
    <w:name w:val="SuperTitle"/>
    <w:basedOn w:val="Title"/>
    <w:rsid w:val="00E55D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5D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5D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5D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5D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5D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5D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5D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5D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5D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5D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5D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5D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5D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5D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5D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5DC1"/>
  </w:style>
  <w:style w:type="paragraph" w:styleId="TableofFigures">
    <w:name w:val="table of figures"/>
    <w:basedOn w:val="Normal"/>
    <w:next w:val="Normal"/>
    <w:semiHidden/>
    <w:rsid w:val="00E55D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5D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5DC1"/>
    <w:rPr>
      <w:rFonts w:ascii="Wingdings" w:hAnsi="Wingdings"/>
    </w:rPr>
  </w:style>
  <w:style w:type="paragraph" w:customStyle="1" w:styleId="TableHeading">
    <w:name w:val="Table Heading"/>
    <w:basedOn w:val="HeadingBase"/>
    <w:rsid w:val="00E55D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5DC1"/>
    <w:rPr>
      <w:color w:val="0033CC"/>
      <w:u w:val="none"/>
    </w:rPr>
  </w:style>
  <w:style w:type="paragraph" w:customStyle="1" w:styleId="BodyTextRight">
    <w:name w:val="Body Text Right"/>
    <w:basedOn w:val="BodyText"/>
    <w:rsid w:val="00E55D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5D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5D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5D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5D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5D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5DC1"/>
    <w:rPr>
      <w:sz w:val="32"/>
    </w:rPr>
  </w:style>
  <w:style w:type="paragraph" w:customStyle="1" w:styleId="HeadingProcedure">
    <w:name w:val="Heading Procedure"/>
    <w:basedOn w:val="HeadingBase"/>
    <w:next w:val="Normal"/>
    <w:rsid w:val="00E55D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5DC1"/>
    <w:pPr>
      <w:spacing w:before="60" w:after="60"/>
    </w:pPr>
  </w:style>
  <w:style w:type="paragraph" w:styleId="ListContinue">
    <w:name w:val="List Continue"/>
    <w:basedOn w:val="List"/>
    <w:rsid w:val="00E55DC1"/>
    <w:pPr>
      <w:ind w:firstLine="0"/>
    </w:pPr>
  </w:style>
  <w:style w:type="paragraph" w:customStyle="1" w:styleId="ListNote">
    <w:name w:val="List Note"/>
    <w:basedOn w:val="List"/>
    <w:rsid w:val="00E55D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5D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5D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5DC1"/>
    <w:rPr>
      <w:rFonts w:ascii="Courier New" w:hAnsi="Courier New"/>
    </w:rPr>
  </w:style>
  <w:style w:type="paragraph" w:customStyle="1" w:styleId="NoteBullet">
    <w:name w:val="Note Bullet"/>
    <w:basedOn w:val="Note"/>
    <w:rsid w:val="00E55D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5D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5D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5D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5D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5D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5D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5DC1"/>
    <w:rPr>
      <w:b/>
      <w:smallCaps/>
    </w:rPr>
  </w:style>
  <w:style w:type="paragraph" w:customStyle="1" w:styleId="TableListNumber">
    <w:name w:val="Table List Number"/>
    <w:basedOn w:val="ListNumber"/>
    <w:rsid w:val="00E55D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5D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5DC1"/>
    <w:pPr>
      <w:numPr>
        <w:numId w:val="8"/>
      </w:numPr>
    </w:pPr>
  </w:style>
  <w:style w:type="paragraph" w:customStyle="1" w:styleId="ListAlpha2">
    <w:name w:val="List Alpha 2"/>
    <w:basedOn w:val="List2"/>
    <w:rsid w:val="00E55DC1"/>
    <w:pPr>
      <w:numPr>
        <w:numId w:val="7"/>
      </w:numPr>
    </w:pPr>
  </w:style>
  <w:style w:type="paragraph" w:styleId="List2">
    <w:name w:val="List 2"/>
    <w:basedOn w:val="BodyText"/>
    <w:rsid w:val="00E55D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5D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5D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5D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5D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5D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5DC1"/>
    <w:pPr>
      <w:numPr>
        <w:numId w:val="3"/>
      </w:numPr>
    </w:pPr>
  </w:style>
  <w:style w:type="paragraph" w:styleId="ListContinue2">
    <w:name w:val="List Continue 2"/>
    <w:basedOn w:val="List2"/>
    <w:rsid w:val="00E55DC1"/>
    <w:pPr>
      <w:ind w:firstLine="0"/>
    </w:pPr>
  </w:style>
  <w:style w:type="paragraph" w:styleId="ListContinue3">
    <w:name w:val="List Continue 3"/>
    <w:basedOn w:val="List3"/>
    <w:rsid w:val="00E55DC1"/>
    <w:pPr>
      <w:ind w:left="1021" w:firstLine="0"/>
    </w:pPr>
  </w:style>
  <w:style w:type="paragraph" w:styleId="ListContinue4">
    <w:name w:val="List Continue 4"/>
    <w:basedOn w:val="List4"/>
    <w:rsid w:val="00E55DC1"/>
    <w:pPr>
      <w:ind w:firstLine="0"/>
    </w:pPr>
  </w:style>
  <w:style w:type="paragraph" w:styleId="ListContinue5">
    <w:name w:val="List Continue 5"/>
    <w:basedOn w:val="List5"/>
    <w:rsid w:val="00E55DC1"/>
    <w:pPr>
      <w:ind w:firstLine="0"/>
    </w:pPr>
  </w:style>
  <w:style w:type="paragraph" w:styleId="ListNumber3">
    <w:name w:val="List Number 3"/>
    <w:basedOn w:val="List3"/>
    <w:rsid w:val="00E55DC1"/>
    <w:pPr>
      <w:numPr>
        <w:numId w:val="4"/>
      </w:numPr>
    </w:pPr>
  </w:style>
  <w:style w:type="paragraph" w:styleId="ListNumber4">
    <w:name w:val="List Number 4"/>
    <w:basedOn w:val="List4"/>
    <w:rsid w:val="00E55DC1"/>
    <w:pPr>
      <w:numPr>
        <w:numId w:val="5"/>
      </w:numPr>
    </w:pPr>
  </w:style>
  <w:style w:type="paragraph" w:styleId="ListNumber5">
    <w:name w:val="List Number 5"/>
    <w:basedOn w:val="List5"/>
    <w:rsid w:val="00E55DC1"/>
    <w:pPr>
      <w:numPr>
        <w:numId w:val="6"/>
      </w:numPr>
    </w:pPr>
  </w:style>
  <w:style w:type="paragraph" w:styleId="BlockText">
    <w:name w:val="Block Text"/>
    <w:basedOn w:val="Normal"/>
    <w:rsid w:val="00E55D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5D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5DC1"/>
    <w:rPr>
      <w:sz w:val="16"/>
      <w:vertAlign w:val="superscript"/>
    </w:rPr>
  </w:style>
  <w:style w:type="character" w:customStyle="1" w:styleId="Symbols">
    <w:name w:val="Symbols"/>
    <w:basedOn w:val="DefaultParagraphFont"/>
    <w:rsid w:val="00E55DC1"/>
    <w:rPr>
      <w:rFonts w:ascii="Symbol" w:hAnsi="Symbol"/>
    </w:rPr>
  </w:style>
  <w:style w:type="character" w:customStyle="1" w:styleId="MenuOptions">
    <w:name w:val="Menu Options"/>
    <w:basedOn w:val="DefaultParagraphFont"/>
    <w:rsid w:val="00E55D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5DC1"/>
    <w:rPr>
      <w:b/>
    </w:rPr>
  </w:style>
  <w:style w:type="character" w:customStyle="1" w:styleId="Underlined">
    <w:name w:val="Underlined"/>
    <w:basedOn w:val="DefaultParagraphFont"/>
    <w:rsid w:val="00E55DC1"/>
    <w:rPr>
      <w:u w:val="single"/>
    </w:rPr>
  </w:style>
  <w:style w:type="paragraph" w:customStyle="1" w:styleId="TableBodyTextRight">
    <w:name w:val="Table Body Text Right"/>
    <w:basedOn w:val="TableBodyText"/>
    <w:rsid w:val="00E55D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5DC1"/>
    <w:rPr>
      <w:sz w:val="18"/>
    </w:rPr>
  </w:style>
  <w:style w:type="paragraph" w:customStyle="1" w:styleId="BodySmallRight">
    <w:name w:val="Body Small Right"/>
    <w:basedOn w:val="BodyTextRight"/>
    <w:rsid w:val="00E55DC1"/>
    <w:rPr>
      <w:sz w:val="18"/>
      <w:szCs w:val="18"/>
    </w:rPr>
  </w:style>
  <w:style w:type="paragraph" w:customStyle="1" w:styleId="MarginEdition">
    <w:name w:val="Margin Edition"/>
    <w:basedOn w:val="MarginNote"/>
    <w:rsid w:val="00E55D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5DC1"/>
    <w:rPr>
      <w:sz w:val="2"/>
      <w:szCs w:val="2"/>
    </w:rPr>
  </w:style>
  <w:style w:type="character" w:customStyle="1" w:styleId="Small">
    <w:name w:val="Small"/>
    <w:basedOn w:val="DefaultParagraphFont"/>
    <w:rsid w:val="00E55DC1"/>
    <w:rPr>
      <w:sz w:val="16"/>
    </w:rPr>
  </w:style>
  <w:style w:type="paragraph" w:customStyle="1" w:styleId="WideTable">
    <w:name w:val="Wide Table"/>
    <w:basedOn w:val="Normal"/>
    <w:rsid w:val="00E55D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5DC1"/>
  </w:style>
  <w:style w:type="paragraph" w:styleId="Quote">
    <w:name w:val="Quote"/>
    <w:basedOn w:val="Heading1"/>
    <w:link w:val="QuoteChar"/>
    <w:qFormat/>
    <w:rsid w:val="00E55D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5D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5DC1"/>
    <w:pPr>
      <w:pageBreakBefore/>
    </w:pPr>
  </w:style>
  <w:style w:type="paragraph" w:customStyle="1" w:styleId="Border">
    <w:name w:val="Border"/>
    <w:basedOn w:val="Normal"/>
    <w:qFormat/>
    <w:rsid w:val="00E55D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5D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5D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5D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5D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5D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5D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5D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5D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5DC1"/>
    <w:rPr>
      <w:u w:val="single"/>
    </w:rPr>
  </w:style>
  <w:style w:type="character" w:customStyle="1" w:styleId="BoldandItalics">
    <w:name w:val="Bold and Italics"/>
    <w:qFormat/>
    <w:rsid w:val="00E55DC1"/>
    <w:rPr>
      <w:b/>
      <w:i/>
      <w:u w:val="none"/>
    </w:rPr>
  </w:style>
  <w:style w:type="paragraph" w:styleId="BalloonText">
    <w:name w:val="Balloon Text"/>
    <w:basedOn w:val="Normal"/>
    <w:link w:val="BalloonTextChar"/>
    <w:rsid w:val="00E55D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5D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5D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5D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5D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5D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5DC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701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629</Words>
  <Characters>3984</Characters>
  <Application>Microsoft Office Word</Application>
  <DocSecurity>0</DocSecurity>
  <Lines>147</Lines>
  <Paragraphs>90</Paragraphs>
  <ScaleCrop>false</ScaleCrop>
  <Company>Author-it Software Corporation Ltd.</Company>
  <LinksUpToDate>false</LinksUpToDate>
  <CharactersWithSpaces>4523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FBPHVB3006 Operate and monitor a forming or shaping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2023-01-25T09:35:00Z</dcterms:created>
  <dcterms:modified xsi:type="dcterms:W3CDTF">2023-01-25T09:35:00Z</dcterms:modified>
</cp:coreProperties>
</file>