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DBB" w:rsidP="009B7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FBPHVB3004 Manufacture wafer products</w:t>
      </w:r>
      <w:r>
        <w:fldChar w:fldCharType="end"/>
      </w:r>
    </w:p>
    <w:p w:rsidR="009B7DBB" w:rsidP="009B7DBB">
      <w:pPr>
        <w:pStyle w:val="Version"/>
        <w:sectPr w:rsidSect="00F73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CC2" w:rsidP="00F73CC2">
      <w:pPr>
        <w:pStyle w:val="SuperHeading"/>
      </w:pPr>
      <w:r w:rsidRPr="00F73CC2">
        <w:t>FBPHVB3004 Manufacture wafer products</w:t>
      </w:r>
    </w:p>
    <w:p w:rsidR="00000000" w:rsidRPr="00F73CC2" w:rsidP="00F73CC2">
      <w:pPr>
        <w:pStyle w:val="Heading1"/>
      </w:pPr>
      <w:bookmarkStart w:id="1" w:name="O_1185589"/>
      <w:bookmarkEnd w:id="1"/>
      <w:r w:rsidRPr="00F73C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Comments</w:t>
            </w:r>
          </w:p>
        </w:tc>
      </w:tr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This version released with FBP Food, Beverage and Pharmaceutical Training Package Version 6.0.</w:t>
            </w:r>
          </w:p>
        </w:tc>
      </w:tr>
    </w:tbl>
    <w:p w:rsidR="00000000" w:rsidRPr="00F73CC2" w:rsidP="00F73CC2">
      <w:pPr>
        <w:pStyle w:val="BodyText"/>
      </w:pPr>
    </w:p>
    <w:p w:rsidR="00000000" w:rsidRPr="00F73CC2" w:rsidP="00F73CC2">
      <w:pPr>
        <w:pStyle w:val="AllowPageBreak"/>
      </w:pPr>
    </w:p>
    <w:p w:rsidR="00000000" w:rsidRPr="00F73CC2" w:rsidP="00F73CC2">
      <w:pPr>
        <w:pStyle w:val="Heading1"/>
      </w:pPr>
      <w:bookmarkStart w:id="2" w:name="O_1185590"/>
      <w:bookmarkEnd w:id="2"/>
      <w:r w:rsidRPr="00F73CC2">
        <w:t>Application</w:t>
      </w:r>
    </w:p>
    <w:p w:rsidR="00000000" w:rsidRPr="00F73CC2" w:rsidP="009B7DBB">
      <w:pPr>
        <w:pStyle w:val="BodyText"/>
      </w:pPr>
      <w:r w:rsidRPr="00F73CC2">
        <w:t xml:space="preserve">This unit of competency describes the skills and knowledge required to set up, </w:t>
      </w:r>
      <w:r w:rsidRPr="00F73CC2">
        <w:t>operate, adjust and shut down a wafer products manufacturing process.</w:t>
      </w:r>
    </w:p>
    <w:p w:rsidR="00000000" w:rsidRPr="00F73CC2" w:rsidP="009B7DBB">
      <w:pPr>
        <w:pStyle w:val="BodyText"/>
      </w:pPr>
      <w:r w:rsidRPr="00F73CC2">
        <w:t>This unit applies to individuals who take responsibility for the operation and monitoring of a wafer manufacturing process and associated equipment in a production baking environment. Th</w:t>
      </w:r>
      <w:r w:rsidRPr="00F73CC2">
        <w:t>e work includes identifying and providing solutions to routine and some non-routine problems.</w:t>
      </w:r>
    </w:p>
    <w:p w:rsidR="00000000" w:rsidRPr="00F73CC2" w:rsidP="009B7DBB">
      <w:pPr>
        <w:pStyle w:val="BodyText"/>
      </w:pPr>
      <w:r w:rsidRPr="00F73CC2">
        <w:t>All work must be carried out to comply with workplace procedures according to state/territory health and safety and food safety regulations, legislation and stand</w:t>
      </w:r>
      <w:r w:rsidRPr="00F73CC2">
        <w:t>ards that apply to the workplace.</w:t>
      </w:r>
    </w:p>
    <w:p w:rsidR="00000000" w:rsidRPr="00F73CC2" w:rsidP="009B7DBB">
      <w:pPr>
        <w:pStyle w:val="BodyText"/>
      </w:pPr>
      <w:r w:rsidRPr="00F73CC2">
        <w:t>No licensing, legislative or certification requirements apply to this unit at the time of publication.</w:t>
      </w:r>
    </w:p>
    <w:p w:rsidR="00000000" w:rsidRPr="00F73CC2" w:rsidP="00F73CC2">
      <w:pPr>
        <w:pStyle w:val="Heading1"/>
      </w:pPr>
      <w:bookmarkStart w:id="3" w:name="O_1185591"/>
      <w:bookmarkEnd w:id="3"/>
      <w:r w:rsidRPr="00F73CC2">
        <w:t>Pre-requisite Unit</w:t>
      </w:r>
    </w:p>
    <w:p w:rsidR="00000000" w:rsidRPr="00F73CC2" w:rsidP="009B7DBB">
      <w:pPr>
        <w:pStyle w:val="BodyText"/>
      </w:pPr>
      <w:r w:rsidRPr="00F73CC2">
        <w:t>Nil</w:t>
      </w:r>
    </w:p>
    <w:p w:rsidR="00000000" w:rsidRPr="00F73CC2" w:rsidP="00F73CC2">
      <w:pPr>
        <w:pStyle w:val="Heading1"/>
      </w:pPr>
      <w:bookmarkStart w:id="4" w:name="O_1185593"/>
      <w:bookmarkEnd w:id="4"/>
      <w:r w:rsidRPr="00F73CC2">
        <w:t>Unit Sector</w:t>
      </w:r>
    </w:p>
    <w:p w:rsidR="00000000" w:rsidRPr="00F73CC2" w:rsidP="009B7DBB">
      <w:pPr>
        <w:pStyle w:val="BodyText"/>
      </w:pPr>
      <w:r w:rsidRPr="00F73CC2">
        <w:t>High Volume Baking (HVB)</w:t>
      </w:r>
    </w:p>
    <w:p w:rsidR="00000000" w:rsidRPr="00F73CC2" w:rsidP="00F73CC2">
      <w:pPr>
        <w:pStyle w:val="Heading1"/>
      </w:pPr>
      <w:bookmarkStart w:id="5" w:name="O_1185594"/>
      <w:bookmarkEnd w:id="5"/>
      <w:r w:rsidRPr="00F73CC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Performance Criteria</w:t>
            </w:r>
          </w:p>
        </w:tc>
      </w:tr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1. Prepare the wafer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1.1 Confi</w:t>
            </w:r>
            <w:r w:rsidRPr="00F73CC2">
              <w:t>rm availability of materials to meet production requirements</w:t>
            </w:r>
          </w:p>
          <w:p w:rsidR="00000000" w:rsidRPr="00F73CC2" w:rsidP="00F73CC2">
            <w:pPr>
              <w:pStyle w:val="BodyText"/>
            </w:pPr>
            <w:r w:rsidRPr="00F73CC2">
              <w:t xml:space="preserve">1.2 Identify health, safety and food safety hazards and address risks, including using appropriate personal protective clothing and </w:t>
            </w:r>
            <w:r w:rsidRPr="00F73CC2">
              <w:t xml:space="preserve">equipment </w:t>
            </w:r>
          </w:p>
          <w:p w:rsidR="00000000" w:rsidRPr="00F73CC2" w:rsidP="00F73CC2">
            <w:pPr>
              <w:pStyle w:val="BodyText"/>
            </w:pPr>
            <w:r w:rsidRPr="00F73CC2">
              <w:t>1.3 Identify and confirm equipment is clean and main</w:t>
            </w:r>
            <w:r w:rsidRPr="00F73CC2">
              <w:t>tenance requirements have been met, according to health, safety and food safety requirements</w:t>
            </w:r>
          </w:p>
          <w:p w:rsidR="00000000" w:rsidRPr="00F73CC2" w:rsidP="00F73CC2">
            <w:pPr>
              <w:pStyle w:val="BodyText"/>
            </w:pPr>
            <w:r w:rsidRPr="00F73CC2">
              <w:t>1.4 Fit machine components and related attachments and adjust to meet operating requirements</w:t>
            </w:r>
          </w:p>
          <w:p w:rsidR="00000000" w:rsidRPr="00F73CC2" w:rsidP="00F73CC2">
            <w:pPr>
              <w:pStyle w:val="BodyText"/>
            </w:pPr>
            <w:r w:rsidRPr="00F73CC2">
              <w:t>1.5 Select processing and operating parameters to meet safety and production requirements</w:t>
            </w:r>
          </w:p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1.6 Carry out pre-start checks according to operator instructions</w:t>
            </w:r>
          </w:p>
        </w:tc>
      </w:tr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2.1 Start the wafer products manufacturing process according to wo</w:t>
            </w:r>
            <w:r w:rsidRPr="00F73CC2">
              <w:t>rkplace procedures</w:t>
            </w:r>
          </w:p>
          <w:p w:rsidR="00000000" w:rsidRPr="00F73CC2" w:rsidP="00F73CC2">
            <w:pPr>
              <w:pStyle w:val="BodyText"/>
            </w:pPr>
            <w:r w:rsidRPr="00F73CC2">
              <w:t>2.2 Monitor equipment and services to ensure optimal operations</w:t>
            </w:r>
          </w:p>
          <w:p w:rsidR="00000000" w:rsidRPr="00F73CC2" w:rsidP="00F73CC2">
            <w:pPr>
              <w:pStyle w:val="BodyText"/>
            </w:pPr>
            <w:r w:rsidRPr="00F73CC2">
              <w:t>2.3 Monitor the product to confirm that it meets specifications</w:t>
            </w:r>
          </w:p>
          <w:p w:rsidR="00000000" w:rsidRPr="00F73CC2" w:rsidP="00F73CC2">
            <w:pPr>
              <w:pStyle w:val="BodyText"/>
            </w:pPr>
            <w:r w:rsidRPr="00F73CC2">
              <w:t>2.4 Take samples and test product to ensure it meets specifications</w:t>
            </w:r>
          </w:p>
          <w:p w:rsidR="00000000" w:rsidRPr="00F73CC2" w:rsidP="00F73CC2">
            <w:pPr>
              <w:pStyle w:val="BodyText"/>
            </w:pPr>
            <w:r w:rsidRPr="00F73CC2">
              <w:t>2.5 Identify, rectify and report out-of-s</w:t>
            </w:r>
            <w:r w:rsidRPr="00F73CC2">
              <w:t>pecification product and process outcomes</w:t>
            </w:r>
          </w:p>
          <w:p w:rsidR="00000000" w:rsidRPr="00F73CC2" w:rsidP="00F73CC2">
            <w:pPr>
              <w:pStyle w:val="BodyText"/>
            </w:pPr>
            <w:r w:rsidRPr="00F73CC2">
              <w:t>2.6 Unload and transfer baked products for cooling and finishing</w:t>
            </w:r>
          </w:p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2.7 Conduct work and maintain a clean and tidy workplace according to workplace housekeeping procedures and environmental guidelines</w:t>
            </w:r>
          </w:p>
        </w:tc>
      </w:tr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3. Complete the</w:t>
            </w:r>
            <w:r w:rsidRPr="00F73CC2">
              <w:t xml:space="preserve">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3.1 Identify the appropriate shutdown procedure and implement</w:t>
            </w:r>
          </w:p>
          <w:p w:rsidR="00000000" w:rsidRPr="00F73CC2" w:rsidP="00F73CC2">
            <w:pPr>
              <w:pStyle w:val="BodyText"/>
            </w:pPr>
            <w:r w:rsidRPr="00F73CC2">
              <w:t>3.2 Identify and report maintenance requirements</w:t>
            </w:r>
          </w:p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3.3 Maintain workplace and batch records accurately according to workplace procedures</w:t>
            </w:r>
          </w:p>
        </w:tc>
      </w:tr>
      <w:tr w:rsidTr="009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4.1 Test w</w:t>
            </w:r>
            <w:r w:rsidRPr="00F73CC2">
              <w:t>afer product to ensure it meets specifications</w:t>
            </w:r>
          </w:p>
          <w:p w:rsidR="00000000" w:rsidRPr="00F73CC2" w:rsidP="00F73CC2">
            <w:pPr>
              <w:pStyle w:val="BodyText"/>
            </w:pPr>
            <w:r w:rsidRPr="00F73CC2">
              <w:t>4.2 Identify causes of typical faults and how they can be rectified according to workplace requirements</w:t>
            </w:r>
          </w:p>
          <w:p w:rsidR="00000000" w:rsidRPr="00F73CC2" w:rsidP="00F73CC2">
            <w:pPr>
              <w:pStyle w:val="BodyText"/>
            </w:pPr>
            <w:r w:rsidRPr="00F73CC2">
              <w:t>4.3 Discard faulty products according to workplace and environmental guidelines</w:t>
            </w:r>
          </w:p>
        </w:tc>
      </w:tr>
    </w:tbl>
    <w:p w:rsidR="00000000" w:rsidRPr="00F73CC2" w:rsidP="00F73CC2">
      <w:pPr>
        <w:pStyle w:val="BodyText"/>
      </w:pPr>
    </w:p>
    <w:p w:rsidR="00000000" w:rsidRPr="00F73CC2" w:rsidP="00F73CC2">
      <w:pPr>
        <w:pStyle w:val="AllowPageBreak"/>
      </w:pPr>
    </w:p>
    <w:p w:rsidR="00000000" w:rsidRPr="00F73CC2" w:rsidP="00F73CC2">
      <w:pPr>
        <w:pStyle w:val="Heading1"/>
      </w:pPr>
      <w:bookmarkStart w:id="6" w:name="O_1185595"/>
      <w:bookmarkEnd w:id="6"/>
      <w:r w:rsidRPr="00F73CC2">
        <w:t>Foundation Skills</w:t>
      </w:r>
    </w:p>
    <w:p w:rsidR="00000000" w:rsidRPr="009B7DBB" w:rsidP="009B7DBB">
      <w:pPr>
        <w:pStyle w:val="BodyText"/>
        <w:rPr>
          <w:i/>
        </w:rPr>
      </w:pPr>
      <w:r w:rsidRPr="009B7DB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Description</w:t>
            </w:r>
          </w:p>
        </w:tc>
      </w:tr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ListBullet"/>
            </w:pPr>
            <w:r w:rsidRPr="00F73CC2">
              <w:t>Interpret workplac</w:t>
            </w:r>
            <w:r w:rsidRPr="00F73CC2">
              <w:t xml:space="preserve">e and standard operating procedures </w:t>
            </w:r>
          </w:p>
          <w:p w:rsidR="00000000" w:rsidRPr="00F73CC2" w:rsidP="00F73CC2">
            <w:pPr>
              <w:pStyle w:val="ListBullet"/>
            </w:pPr>
            <w:r w:rsidRPr="00F73CC2">
              <w:t>Interpret production requirements</w:t>
            </w:r>
          </w:p>
          <w:p w:rsidR="00000000" w:rsidP="00F73CC2">
            <w:pPr>
              <w:pStyle w:val="ListBullet"/>
              <w:rPr>
                <w:lang w:val="en-NZ"/>
              </w:rPr>
            </w:pPr>
            <w:r w:rsidRPr="00F73CC2">
              <w:t>Interact with process control screens</w:t>
            </w:r>
          </w:p>
        </w:tc>
      </w:tr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ListBullet"/>
              <w:rPr>
                <w:lang w:val="en-NZ"/>
              </w:rPr>
            </w:pPr>
            <w:r w:rsidRPr="00F73CC2">
              <w:t>Complete processing records using digital and/or paper-based formats</w:t>
            </w:r>
          </w:p>
        </w:tc>
      </w:tr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ListBullet"/>
            </w:pPr>
            <w:r w:rsidRPr="00F73CC2">
              <w:t>Monitor and interpret production and process control indicators and data, including temperature (</w:t>
            </w:r>
            <w:r w:rsidRPr="00F73CC2">
              <w:rPr>
                <w:rStyle w:val="Symbols"/>
              </w:rPr>
              <w:t></w:t>
            </w:r>
            <w:r w:rsidRPr="00F73CC2">
              <w:t xml:space="preserve">C), wafer width, length and thickness (mm) and weight (mg, g), speed settings </w:t>
            </w:r>
          </w:p>
          <w:p w:rsidR="00000000" w:rsidRPr="00F73CC2" w:rsidP="00F73CC2">
            <w:pPr>
              <w:pStyle w:val="ListBullet"/>
            </w:pPr>
            <w:r w:rsidRPr="00F73CC2">
              <w:t>Use basic arithmetic to scale recipes up and down</w:t>
            </w:r>
          </w:p>
        </w:tc>
      </w:tr>
    </w:tbl>
    <w:p w:rsidR="00000000" w:rsidRPr="00F73CC2" w:rsidP="00F73CC2">
      <w:pPr>
        <w:pStyle w:val="BodyText"/>
      </w:pPr>
    </w:p>
    <w:p w:rsidR="00000000" w:rsidRPr="00F73CC2" w:rsidP="00F73CC2">
      <w:pPr>
        <w:pStyle w:val="AllowPageBreak"/>
      </w:pPr>
    </w:p>
    <w:p w:rsidR="00000000" w:rsidRPr="00F73CC2" w:rsidP="00F73CC2">
      <w:pPr>
        <w:pStyle w:val="Heading1"/>
      </w:pPr>
      <w:bookmarkStart w:id="7" w:name="O_1185597"/>
      <w:bookmarkEnd w:id="7"/>
      <w:r w:rsidRPr="00F73CC2">
        <w:t>Unit Map</w:t>
      </w:r>
      <w:r w:rsidRPr="00F73CC2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Bold"/>
              <w:rPr>
                <w:lang w:val="en-NZ"/>
              </w:rPr>
            </w:pPr>
            <w:r w:rsidRPr="00F73CC2">
              <w:t>Equivalence status</w:t>
            </w:r>
          </w:p>
        </w:tc>
      </w:tr>
      <w:tr w:rsidTr="00F73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FBPHVB3004 Manufacture wafer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FBPPBK2004 Manufacture wafer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Updated unit code</w:t>
            </w:r>
          </w:p>
          <w:p w:rsidR="00000000" w:rsidRPr="00F73CC2" w:rsidP="00F73CC2">
            <w:pPr>
              <w:pStyle w:val="BodyText"/>
            </w:pPr>
            <w:r w:rsidRPr="00F73CC2">
              <w:t>Minor changes to</w:t>
            </w:r>
            <w:r w:rsidRPr="00F73CC2">
              <w:t xml:space="preserve"> wording of Elements and Performance Criteria to clarify intent</w:t>
            </w:r>
          </w:p>
          <w:p w:rsidR="00000000" w:rsidRPr="00F73CC2" w:rsidP="00F73CC2">
            <w:pPr>
              <w:pStyle w:val="BodyText"/>
            </w:pPr>
            <w:r w:rsidRPr="00F73CC2">
              <w:t>Element 4 added</w:t>
            </w:r>
          </w:p>
          <w:p w:rsidR="00000000" w:rsidRPr="00F73CC2" w:rsidP="00F73CC2">
            <w:pPr>
              <w:pStyle w:val="BodyText"/>
            </w:pPr>
            <w:r w:rsidRPr="00F73CC2">
              <w:t>Foundation Skills refined</w:t>
            </w:r>
          </w:p>
          <w:p w:rsidR="00000000" w:rsidRPr="00F73CC2" w:rsidP="00F73CC2">
            <w:pPr>
              <w:pStyle w:val="BodyText"/>
            </w:pPr>
            <w:r w:rsidRPr="00F73CC2">
              <w:t>Performance Evidence clarified</w:t>
            </w:r>
          </w:p>
          <w:p w:rsidR="00000000" w:rsidP="00F73CC2">
            <w:pPr>
              <w:pStyle w:val="BodyText"/>
              <w:rPr>
                <w:lang w:val="en-NZ"/>
              </w:rPr>
            </w:pPr>
            <w:r w:rsidRPr="00F73CC2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CC2" w:rsidP="00F73CC2">
            <w:pPr>
              <w:pStyle w:val="BodyText"/>
            </w:pPr>
            <w:r w:rsidRPr="00F73CC2">
              <w:t>Not equivalent</w:t>
            </w:r>
          </w:p>
        </w:tc>
      </w:tr>
    </w:tbl>
    <w:p w:rsidR="00000000" w:rsidRPr="00F73CC2" w:rsidP="00F73CC2">
      <w:pPr>
        <w:pStyle w:val="BodyText"/>
      </w:pPr>
    </w:p>
    <w:p w:rsidR="00000000" w:rsidRPr="00F73CC2" w:rsidP="00F73CC2">
      <w:pPr>
        <w:pStyle w:val="AllowPageBreak"/>
      </w:pPr>
    </w:p>
    <w:p w:rsidR="00000000" w:rsidRPr="00F73CC2" w:rsidP="00F73CC2">
      <w:pPr>
        <w:pStyle w:val="Heading1"/>
      </w:pPr>
      <w:bookmarkStart w:id="8" w:name="O_1185604"/>
      <w:bookmarkEnd w:id="8"/>
      <w:r w:rsidRPr="00F73CC2">
        <w:t>Links</w:t>
      </w:r>
    </w:p>
    <w:p w:rsidR="00000000" w:rsidRPr="00F73CC2" w:rsidP="009B7DBB">
      <w:pPr>
        <w:pStyle w:val="BodyText"/>
      </w:pPr>
      <w:r w:rsidRPr="00F73C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6E9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3CC2" w:rsidP="00F73CC2"/>
    <w:sectPr w:rsidSect="00F73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C2" w:rsidRPr="009B7DBB" w:rsidP="009B7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BB" w:rsidP="00F73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DBB" w:rsidP="00F73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7DBB" w:rsidP="00F73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CC2" w:rsidRPr="009B7DBB" w:rsidP="009B7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BB" w:rsidRPr="002D2AF8" w:rsidP="00F73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FBPHVB3004 Manufacture wafer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B7DBB" w:rsidP="00F73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08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CC0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CC2"/>
  </w:style>
  <w:style w:type="character" w:customStyle="1" w:styleId="Heading1Char">
    <w:name w:val="Heading 1 Char"/>
    <w:basedOn w:val="DefaultParagraphFont"/>
    <w:link w:val="Heading1"/>
    <w:rsid w:val="00F73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CC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3CC2"/>
    <w:rPr>
      <w:i/>
    </w:rPr>
  </w:style>
  <w:style w:type="paragraph" w:customStyle="1" w:styleId="SuperHeading">
    <w:name w:val="SuperHeading"/>
    <w:basedOn w:val="Normal"/>
    <w:rsid w:val="00F73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73CC2"/>
    <w:rPr>
      <w:rFonts w:ascii="Symbol" w:hAnsi="Symbol"/>
    </w:rPr>
  </w:style>
  <w:style w:type="paragraph" w:customStyle="1" w:styleId="BodyTextBold">
    <w:name w:val="Body Text Bold"/>
    <w:basedOn w:val="BodyText"/>
    <w:qFormat/>
    <w:rsid w:val="00F73CC2"/>
    <w:rPr>
      <w:b/>
    </w:rPr>
  </w:style>
  <w:style w:type="character" w:customStyle="1" w:styleId="Heading2Char">
    <w:name w:val="Heading 2 Char"/>
    <w:basedOn w:val="DefaultParagraphFont"/>
    <w:link w:val="Heading2"/>
    <w:rsid w:val="00F73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CC2"/>
    <w:rPr>
      <w:b/>
      <w:spacing w:val="0"/>
    </w:rPr>
  </w:style>
  <w:style w:type="paragraph" w:customStyle="1" w:styleId="SuperTitle">
    <w:name w:val="SuperTitle"/>
    <w:basedOn w:val="Title"/>
    <w:rsid w:val="00F73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CC2"/>
  </w:style>
  <w:style w:type="paragraph" w:styleId="TableofFigures">
    <w:name w:val="table of figures"/>
    <w:basedOn w:val="Normal"/>
    <w:next w:val="Normal"/>
    <w:semiHidden/>
    <w:rsid w:val="00F73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CC2"/>
    <w:rPr>
      <w:rFonts w:ascii="Wingdings" w:hAnsi="Wingdings"/>
    </w:rPr>
  </w:style>
  <w:style w:type="paragraph" w:customStyle="1" w:styleId="TableHeading">
    <w:name w:val="Table Heading"/>
    <w:basedOn w:val="HeadingBase"/>
    <w:rsid w:val="00F73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CC2"/>
    <w:rPr>
      <w:color w:val="0033CC"/>
      <w:u w:val="none"/>
    </w:rPr>
  </w:style>
  <w:style w:type="paragraph" w:customStyle="1" w:styleId="BodyTextRight">
    <w:name w:val="Body Text Right"/>
    <w:basedOn w:val="BodyText"/>
    <w:rsid w:val="00F73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CC2"/>
    <w:rPr>
      <w:sz w:val="32"/>
    </w:rPr>
  </w:style>
  <w:style w:type="paragraph" w:customStyle="1" w:styleId="HeadingProcedure">
    <w:name w:val="Heading Procedure"/>
    <w:basedOn w:val="HeadingBase"/>
    <w:next w:val="Normal"/>
    <w:rsid w:val="00F73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CC2"/>
    <w:pPr>
      <w:spacing w:before="60" w:after="60"/>
    </w:pPr>
  </w:style>
  <w:style w:type="paragraph" w:styleId="ListContinue">
    <w:name w:val="List Continue"/>
    <w:basedOn w:val="List"/>
    <w:rsid w:val="00F73CC2"/>
    <w:pPr>
      <w:ind w:firstLine="0"/>
    </w:pPr>
  </w:style>
  <w:style w:type="paragraph" w:customStyle="1" w:styleId="ListNote">
    <w:name w:val="List Note"/>
    <w:basedOn w:val="List"/>
    <w:rsid w:val="00F73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CC2"/>
    <w:rPr>
      <w:rFonts w:ascii="Courier New" w:hAnsi="Courier New"/>
    </w:rPr>
  </w:style>
  <w:style w:type="paragraph" w:customStyle="1" w:styleId="NoteBullet">
    <w:name w:val="Note Bullet"/>
    <w:basedOn w:val="Note"/>
    <w:rsid w:val="00F73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CC2"/>
    <w:rPr>
      <w:b/>
      <w:smallCaps/>
    </w:rPr>
  </w:style>
  <w:style w:type="paragraph" w:customStyle="1" w:styleId="TableListNumber">
    <w:name w:val="Table List Number"/>
    <w:basedOn w:val="ListNumber"/>
    <w:rsid w:val="00F73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CC2"/>
    <w:pPr>
      <w:numPr>
        <w:numId w:val="8"/>
      </w:numPr>
    </w:pPr>
  </w:style>
  <w:style w:type="paragraph" w:customStyle="1" w:styleId="ListAlpha2">
    <w:name w:val="List Alpha 2"/>
    <w:basedOn w:val="List2"/>
    <w:rsid w:val="00F73CC2"/>
    <w:pPr>
      <w:numPr>
        <w:numId w:val="7"/>
      </w:numPr>
    </w:pPr>
  </w:style>
  <w:style w:type="paragraph" w:styleId="List2">
    <w:name w:val="List 2"/>
    <w:basedOn w:val="BodyText"/>
    <w:rsid w:val="00F73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CC2"/>
    <w:pPr>
      <w:numPr>
        <w:numId w:val="3"/>
      </w:numPr>
    </w:pPr>
  </w:style>
  <w:style w:type="paragraph" w:styleId="ListContinue2">
    <w:name w:val="List Continue 2"/>
    <w:basedOn w:val="List2"/>
    <w:rsid w:val="00F73CC2"/>
    <w:pPr>
      <w:ind w:firstLine="0"/>
    </w:pPr>
  </w:style>
  <w:style w:type="paragraph" w:styleId="ListContinue3">
    <w:name w:val="List Continue 3"/>
    <w:basedOn w:val="List3"/>
    <w:rsid w:val="00F73CC2"/>
    <w:pPr>
      <w:ind w:left="1021" w:firstLine="0"/>
    </w:pPr>
  </w:style>
  <w:style w:type="paragraph" w:styleId="ListContinue4">
    <w:name w:val="List Continue 4"/>
    <w:basedOn w:val="List4"/>
    <w:rsid w:val="00F73CC2"/>
    <w:pPr>
      <w:ind w:firstLine="0"/>
    </w:pPr>
  </w:style>
  <w:style w:type="paragraph" w:styleId="ListContinue5">
    <w:name w:val="List Continue 5"/>
    <w:basedOn w:val="List5"/>
    <w:rsid w:val="00F73CC2"/>
    <w:pPr>
      <w:ind w:firstLine="0"/>
    </w:pPr>
  </w:style>
  <w:style w:type="paragraph" w:styleId="ListNumber3">
    <w:name w:val="List Number 3"/>
    <w:basedOn w:val="List3"/>
    <w:rsid w:val="00F73CC2"/>
    <w:pPr>
      <w:numPr>
        <w:numId w:val="4"/>
      </w:numPr>
    </w:pPr>
  </w:style>
  <w:style w:type="paragraph" w:styleId="ListNumber4">
    <w:name w:val="List Number 4"/>
    <w:basedOn w:val="List4"/>
    <w:rsid w:val="00F73CC2"/>
    <w:pPr>
      <w:numPr>
        <w:numId w:val="5"/>
      </w:numPr>
    </w:pPr>
  </w:style>
  <w:style w:type="paragraph" w:styleId="ListNumber5">
    <w:name w:val="List Number 5"/>
    <w:basedOn w:val="List5"/>
    <w:rsid w:val="00F73CC2"/>
    <w:pPr>
      <w:numPr>
        <w:numId w:val="6"/>
      </w:numPr>
    </w:pPr>
  </w:style>
  <w:style w:type="paragraph" w:styleId="BlockText">
    <w:name w:val="Block Text"/>
    <w:basedOn w:val="Normal"/>
    <w:rsid w:val="00F73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CC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73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CC2"/>
    <w:rPr>
      <w:b/>
    </w:rPr>
  </w:style>
  <w:style w:type="character" w:customStyle="1" w:styleId="Underlined">
    <w:name w:val="Underlined"/>
    <w:basedOn w:val="DefaultParagraphFont"/>
    <w:rsid w:val="00F73CC2"/>
    <w:rPr>
      <w:u w:val="single"/>
    </w:rPr>
  </w:style>
  <w:style w:type="paragraph" w:customStyle="1" w:styleId="TableBodyTextRight">
    <w:name w:val="Table Body Text Right"/>
    <w:basedOn w:val="TableBodyText"/>
    <w:rsid w:val="00F73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CC2"/>
    <w:rPr>
      <w:sz w:val="18"/>
    </w:rPr>
  </w:style>
  <w:style w:type="paragraph" w:customStyle="1" w:styleId="BodySmallRight">
    <w:name w:val="Body Small Right"/>
    <w:basedOn w:val="BodyTextRight"/>
    <w:rsid w:val="00F73CC2"/>
    <w:rPr>
      <w:sz w:val="18"/>
      <w:szCs w:val="18"/>
    </w:rPr>
  </w:style>
  <w:style w:type="paragraph" w:customStyle="1" w:styleId="MarginEdition">
    <w:name w:val="Margin Edition"/>
    <w:basedOn w:val="MarginNote"/>
    <w:rsid w:val="00F73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CC2"/>
    <w:rPr>
      <w:sz w:val="2"/>
      <w:szCs w:val="2"/>
    </w:rPr>
  </w:style>
  <w:style w:type="character" w:customStyle="1" w:styleId="Small">
    <w:name w:val="Small"/>
    <w:basedOn w:val="DefaultParagraphFont"/>
    <w:rsid w:val="00F73CC2"/>
    <w:rPr>
      <w:sz w:val="16"/>
    </w:rPr>
  </w:style>
  <w:style w:type="paragraph" w:customStyle="1" w:styleId="WideTable">
    <w:name w:val="Wide Table"/>
    <w:basedOn w:val="Normal"/>
    <w:rsid w:val="00F73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CC2"/>
  </w:style>
  <w:style w:type="paragraph" w:styleId="Quote">
    <w:name w:val="Quote"/>
    <w:basedOn w:val="Heading1"/>
    <w:link w:val="QuoteChar"/>
    <w:qFormat/>
    <w:rsid w:val="00F73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CC2"/>
    <w:pPr>
      <w:pageBreakBefore/>
    </w:pPr>
  </w:style>
  <w:style w:type="paragraph" w:customStyle="1" w:styleId="Border">
    <w:name w:val="Border"/>
    <w:basedOn w:val="Normal"/>
    <w:qFormat/>
    <w:rsid w:val="00F73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CC2"/>
    <w:rPr>
      <w:u w:val="single"/>
    </w:rPr>
  </w:style>
  <w:style w:type="character" w:customStyle="1" w:styleId="BoldandItalics">
    <w:name w:val="Bold and Italics"/>
    <w:qFormat/>
    <w:rsid w:val="00F73CC2"/>
    <w:rPr>
      <w:b/>
      <w:i/>
      <w:u w:val="none"/>
    </w:rPr>
  </w:style>
  <w:style w:type="paragraph" w:styleId="BalloonText">
    <w:name w:val="Balloon Text"/>
    <w:basedOn w:val="Normal"/>
    <w:link w:val="BalloonTextChar"/>
    <w:rsid w:val="00F73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C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7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3878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FBPHVB3004 Manufacture wafer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