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310" w:rsidP="000953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FBPHVB2001 Freeze and thaw dough</w:t>
      </w:r>
      <w:r>
        <w:fldChar w:fldCharType="end"/>
      </w:r>
    </w:p>
    <w:p w:rsidR="00095310" w:rsidP="00095310">
      <w:pPr>
        <w:pStyle w:val="Version"/>
        <w:sectPr w:rsidSect="00A10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0CE0" w:rsidP="00A10CE0">
      <w:pPr>
        <w:pStyle w:val="SuperHeading"/>
      </w:pPr>
      <w:r w:rsidRPr="00A10CE0">
        <w:t>FBPHVB2001 Freeze and thaw dough</w:t>
      </w:r>
    </w:p>
    <w:p w:rsidR="00000000" w:rsidRPr="00A10CE0" w:rsidP="00A10CE0">
      <w:pPr>
        <w:pStyle w:val="Heading1"/>
      </w:pPr>
      <w:bookmarkStart w:id="1" w:name="O_1185513"/>
      <w:bookmarkEnd w:id="1"/>
      <w:r w:rsidRPr="00A10C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10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Bold"/>
              <w:rPr>
                <w:lang w:val="en-NZ"/>
              </w:rPr>
            </w:pPr>
            <w:r w:rsidRPr="00A10C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Bold"/>
              <w:rPr>
                <w:lang w:val="en-NZ"/>
              </w:rPr>
            </w:pPr>
            <w:r w:rsidRPr="00A10CE0">
              <w:t>Comments</w:t>
            </w:r>
          </w:p>
        </w:tc>
      </w:tr>
      <w:tr w:rsidTr="00A10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"/>
              <w:rPr>
                <w:lang w:val="en-NZ"/>
              </w:rPr>
            </w:pPr>
            <w:r w:rsidRPr="00A10C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CE0" w:rsidP="00A10CE0">
            <w:pPr>
              <w:pStyle w:val="BodyText"/>
            </w:pPr>
            <w:r w:rsidRPr="00A10CE0">
              <w:t>This version released with FBP Food, Beverage and Pharmaceutical Training Package Version 6.0.</w:t>
            </w:r>
          </w:p>
        </w:tc>
      </w:tr>
    </w:tbl>
    <w:p w:rsidR="00000000" w:rsidRPr="00A10CE0" w:rsidP="00A10CE0">
      <w:pPr>
        <w:pStyle w:val="BodyText"/>
      </w:pPr>
    </w:p>
    <w:p w:rsidR="00000000" w:rsidRPr="00A10CE0" w:rsidP="00A10CE0">
      <w:pPr>
        <w:pStyle w:val="AllowPageBreak"/>
      </w:pPr>
    </w:p>
    <w:p w:rsidR="00000000" w:rsidRPr="00A10CE0" w:rsidP="00A10CE0">
      <w:pPr>
        <w:pStyle w:val="Heading1"/>
      </w:pPr>
      <w:bookmarkStart w:id="2" w:name="O_1185514"/>
      <w:bookmarkEnd w:id="2"/>
      <w:r w:rsidRPr="00A10CE0">
        <w:t>Application</w:t>
      </w:r>
    </w:p>
    <w:p w:rsidR="00000000" w:rsidRPr="00A10CE0" w:rsidP="00095310">
      <w:pPr>
        <w:pStyle w:val="BodyText"/>
      </w:pPr>
      <w:r w:rsidRPr="00A10CE0">
        <w:t xml:space="preserve">This unit of competency describes the skills and knowledge required to freeze, </w:t>
      </w:r>
      <w:r w:rsidRPr="00A10CE0">
        <w:t>store and thaw dough.</w:t>
      </w:r>
    </w:p>
    <w:p w:rsidR="00000000" w:rsidRPr="00A10CE0" w:rsidP="00095310">
      <w:pPr>
        <w:pStyle w:val="BodyText"/>
      </w:pPr>
      <w:r w:rsidRPr="00A10CE0">
        <w:t>This unit applies to individuals who work under general supervision in a food processing or high volume production baking environment. It typically applies to the production worker responsible for applying basic operating principles t</w:t>
      </w:r>
      <w:r w:rsidRPr="00A10CE0">
        <w:t>o freeze dough.</w:t>
      </w:r>
    </w:p>
    <w:p w:rsidR="00000000" w:rsidRPr="00A10CE0" w:rsidP="00095310">
      <w:pPr>
        <w:pStyle w:val="BodyText"/>
      </w:pPr>
      <w:r w:rsidRPr="00A10CE0">
        <w:t>All work must be carried out to comply with workplace procedures according to state/territory health and safety and food safety regulations, legislation and standards that apply to the workplace.</w:t>
      </w:r>
    </w:p>
    <w:p w:rsidR="00000000" w:rsidRPr="00A10CE0" w:rsidP="00095310">
      <w:pPr>
        <w:pStyle w:val="BodyText"/>
      </w:pPr>
      <w:r w:rsidRPr="00A10CE0">
        <w:t>No licensing, legislative or certification r</w:t>
      </w:r>
      <w:r w:rsidRPr="00A10CE0">
        <w:t>equirements apply to this unit at the time of publication.</w:t>
      </w:r>
    </w:p>
    <w:p w:rsidR="00000000" w:rsidRPr="00A10CE0" w:rsidP="00A10CE0">
      <w:pPr>
        <w:pStyle w:val="Heading1"/>
      </w:pPr>
      <w:bookmarkStart w:id="3" w:name="O_1185515"/>
      <w:bookmarkEnd w:id="3"/>
      <w:r w:rsidRPr="00A10CE0">
        <w:t>Pre-requisite Unit</w:t>
      </w:r>
    </w:p>
    <w:p w:rsidR="00000000" w:rsidRPr="00A10CE0" w:rsidP="00095310">
      <w:pPr>
        <w:pStyle w:val="BodyText"/>
      </w:pPr>
      <w:r w:rsidRPr="00A10CE0">
        <w:t>Nil</w:t>
      </w:r>
    </w:p>
    <w:p w:rsidR="00000000" w:rsidRPr="00A10CE0" w:rsidP="00A10CE0">
      <w:pPr>
        <w:pStyle w:val="Heading1"/>
      </w:pPr>
      <w:bookmarkStart w:id="4" w:name="O_1185517"/>
      <w:bookmarkEnd w:id="4"/>
      <w:r w:rsidRPr="00A10CE0">
        <w:t>Unit Sector</w:t>
      </w:r>
    </w:p>
    <w:p w:rsidR="00000000" w:rsidRPr="00A10CE0" w:rsidP="00095310">
      <w:pPr>
        <w:pStyle w:val="BodyText"/>
      </w:pPr>
      <w:r w:rsidRPr="00A10CE0">
        <w:t>High Volume Baking (HVB)</w:t>
      </w:r>
    </w:p>
    <w:p w:rsidR="00000000" w:rsidRPr="00A10CE0" w:rsidP="00A10CE0">
      <w:pPr>
        <w:pStyle w:val="Heading1"/>
      </w:pPr>
      <w:bookmarkStart w:id="5" w:name="O_1185518"/>
      <w:bookmarkEnd w:id="5"/>
      <w:r w:rsidRPr="00A10C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5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Bold"/>
              <w:rPr>
                <w:lang w:val="en-NZ"/>
              </w:rPr>
            </w:pPr>
            <w:r w:rsidRPr="00A10CE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Bold"/>
              <w:rPr>
                <w:lang w:val="en-NZ"/>
              </w:rPr>
            </w:pPr>
            <w:r w:rsidRPr="00A10CE0">
              <w:t>Performance Criteria</w:t>
            </w:r>
          </w:p>
        </w:tc>
      </w:tr>
      <w:tr w:rsidTr="00095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CE0" w:rsidP="00A10CE0">
            <w:pPr>
              <w:pStyle w:val="BodyText"/>
            </w:pPr>
            <w:r w:rsidRPr="00A10CE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"/>
              <w:rPr>
                <w:lang w:val="en-NZ"/>
              </w:rPr>
            </w:pPr>
            <w:r w:rsidRPr="00A10C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5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"/>
              <w:rPr>
                <w:lang w:val="en-NZ"/>
              </w:rPr>
            </w:pPr>
            <w:r w:rsidRPr="00A10CE0">
              <w:t>1. Prepare to freeze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CE0" w:rsidP="00A10CE0">
            <w:pPr>
              <w:pStyle w:val="BodyText"/>
            </w:pPr>
            <w:r w:rsidRPr="00A10CE0">
              <w:t>1.1 Confirm dough is available for freezing</w:t>
            </w:r>
          </w:p>
          <w:p w:rsidR="00000000" w:rsidRPr="00A10CE0" w:rsidP="00A10CE0">
            <w:pPr>
              <w:pStyle w:val="BodyText"/>
            </w:pPr>
            <w:r w:rsidRPr="00A10CE0">
              <w:t>1.2 Identify freezing requirements for dough</w:t>
            </w:r>
          </w:p>
          <w:p w:rsidR="00000000" w:rsidRPr="00A10CE0" w:rsidP="00A10CE0">
            <w:pPr>
              <w:pStyle w:val="BodyText"/>
            </w:pPr>
            <w:r w:rsidRPr="00A10CE0">
              <w:t>1</w:t>
            </w:r>
            <w:r w:rsidRPr="00A10CE0">
              <w:t>.3 Set freezers to meet parameters for snap freezing and for storage</w:t>
            </w:r>
          </w:p>
          <w:p w:rsidR="00000000" w:rsidP="00A10CE0">
            <w:pPr>
              <w:pStyle w:val="BodyText"/>
              <w:rPr>
                <w:lang w:val="en-NZ"/>
              </w:rPr>
            </w:pPr>
            <w:r w:rsidRPr="00A10CE0">
              <w:t>1.4 Wear appropriate personal protective clothing according to safe work procedures</w:t>
            </w:r>
          </w:p>
        </w:tc>
      </w:tr>
      <w:tr w:rsidTr="00095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"/>
              <w:rPr>
                <w:lang w:val="en-NZ"/>
              </w:rPr>
            </w:pPr>
            <w:r w:rsidRPr="00A10CE0">
              <w:t>2. Store frozen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CE0" w:rsidP="00A10CE0">
            <w:pPr>
              <w:pStyle w:val="BodyText"/>
            </w:pPr>
            <w:r w:rsidRPr="00A10CE0">
              <w:t>2.1 Confirm storage conditions will retain quality characteristics of frozen dough</w:t>
            </w:r>
          </w:p>
          <w:p w:rsidR="00000000" w:rsidRPr="00A10CE0" w:rsidP="00A10CE0">
            <w:pPr>
              <w:pStyle w:val="BodyText"/>
            </w:pPr>
            <w:r w:rsidRPr="00A10CE0">
              <w:t>2.2 Transfer dough to snap freezer, ensuring minimal damage to dough</w:t>
            </w:r>
          </w:p>
          <w:p w:rsidR="00000000" w:rsidRPr="00A10CE0" w:rsidP="00A10CE0">
            <w:pPr>
              <w:pStyle w:val="BodyText"/>
            </w:pPr>
            <w:r w:rsidRPr="00A10CE0">
              <w:t>2.3 Package snap frozen dough for freezer storage to prevent moisture loss</w:t>
            </w:r>
          </w:p>
          <w:p w:rsidR="00000000" w:rsidRPr="00A10CE0" w:rsidP="00A10CE0">
            <w:pPr>
              <w:pStyle w:val="BodyText"/>
            </w:pPr>
            <w:r w:rsidRPr="00A10CE0">
              <w:t>2.4 Transfer snap frozen doug</w:t>
            </w:r>
            <w:r w:rsidRPr="00A10CE0">
              <w:t>h to freezer storage, ensuring minimal damage</w:t>
            </w:r>
          </w:p>
          <w:p w:rsidR="00000000" w:rsidRPr="00A10CE0" w:rsidP="00A10CE0">
            <w:pPr>
              <w:pStyle w:val="BodyText"/>
            </w:pPr>
            <w:r w:rsidRPr="00A10CE0">
              <w:t>2.5 Monitor frozen dough to ensure that product meets food safety and quality requirements</w:t>
            </w:r>
          </w:p>
          <w:p w:rsidR="00000000" w:rsidP="00A10CE0">
            <w:pPr>
              <w:pStyle w:val="BodyText"/>
              <w:rPr>
                <w:lang w:val="en-NZ"/>
              </w:rPr>
            </w:pPr>
            <w:r w:rsidRPr="00A10CE0">
              <w:t>2.6 Adjust temperature settings as required to ensure product remains within specification</w:t>
            </w:r>
          </w:p>
        </w:tc>
      </w:tr>
      <w:tr w:rsidTr="00095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"/>
              <w:rPr>
                <w:lang w:val="en-NZ"/>
              </w:rPr>
            </w:pPr>
            <w:r w:rsidRPr="00A10CE0">
              <w:t>3. Thaw frozen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CE0" w:rsidP="00A10CE0">
            <w:pPr>
              <w:pStyle w:val="BodyText"/>
            </w:pPr>
            <w:r w:rsidRPr="00A10CE0">
              <w:t>3.1 Th</w:t>
            </w:r>
            <w:r w:rsidRPr="00A10CE0">
              <w:t>aw dough ensuring food safety and quality requirements</w:t>
            </w:r>
          </w:p>
          <w:p w:rsidR="00000000" w:rsidRPr="00A10CE0" w:rsidP="00A10CE0">
            <w:pPr>
              <w:pStyle w:val="BodyText"/>
            </w:pPr>
            <w:r w:rsidRPr="00A10CE0">
              <w:t>3.2 Identify, rectify and/or remove unacceptable dough</w:t>
            </w:r>
          </w:p>
          <w:p w:rsidR="00000000" w:rsidRPr="00A10CE0" w:rsidP="00A10CE0">
            <w:pPr>
              <w:pStyle w:val="BodyText"/>
            </w:pPr>
            <w:r w:rsidRPr="00A10CE0">
              <w:t>3.3 Dispose of waste according to workplace procedures</w:t>
            </w:r>
          </w:p>
          <w:p w:rsidR="00000000" w:rsidRPr="00A10CE0" w:rsidP="00A10CE0">
            <w:pPr>
              <w:pStyle w:val="BodyText"/>
            </w:pPr>
            <w:r w:rsidRPr="00A10CE0">
              <w:t>3.4 Conduct work in accordance with workplace environmental guidelines</w:t>
            </w:r>
          </w:p>
          <w:p w:rsidR="00000000" w:rsidRPr="00A10CE0" w:rsidP="00A10CE0">
            <w:pPr>
              <w:pStyle w:val="BodyText"/>
            </w:pPr>
            <w:r w:rsidRPr="00A10CE0">
              <w:t>3.5 Maintain workpla</w:t>
            </w:r>
            <w:r w:rsidRPr="00A10CE0">
              <w:t>ce housekeeping standards for freezing, storing and thawing dough</w:t>
            </w:r>
          </w:p>
          <w:p w:rsidR="00000000" w:rsidRPr="00A10CE0" w:rsidP="00A10CE0">
            <w:pPr>
              <w:pStyle w:val="BodyText"/>
            </w:pPr>
            <w:r w:rsidRPr="00A10CE0">
              <w:t>3.6 Maintain workplace records according to workplace procedures</w:t>
            </w:r>
          </w:p>
        </w:tc>
      </w:tr>
    </w:tbl>
    <w:p w:rsidR="00000000" w:rsidRPr="00A10CE0" w:rsidP="00A10CE0">
      <w:pPr>
        <w:pStyle w:val="BodyText"/>
      </w:pPr>
    </w:p>
    <w:p w:rsidR="00000000" w:rsidRPr="00A10CE0" w:rsidP="00A10CE0">
      <w:pPr>
        <w:pStyle w:val="AllowPageBreak"/>
      </w:pPr>
    </w:p>
    <w:p w:rsidR="00000000" w:rsidRPr="00A10CE0" w:rsidP="00A10CE0">
      <w:pPr>
        <w:pStyle w:val="Heading1"/>
      </w:pPr>
      <w:bookmarkStart w:id="6" w:name="O_1185519"/>
      <w:bookmarkEnd w:id="6"/>
      <w:r w:rsidRPr="00A10CE0">
        <w:t>Foundation Skills</w:t>
      </w:r>
    </w:p>
    <w:p w:rsidR="00000000" w:rsidRPr="00095310" w:rsidP="00095310">
      <w:pPr>
        <w:pStyle w:val="BodyText"/>
        <w:rPr>
          <w:i/>
        </w:rPr>
      </w:pPr>
      <w:r w:rsidRPr="00095310">
        <w:rPr>
          <w:rStyle w:val="Emphasis"/>
        </w:rPr>
        <w:t>This section describes those language, literacy, numeracy and employment skills that a</w:t>
      </w:r>
      <w:r w:rsidRPr="00095310">
        <w:rPr>
          <w:rStyle w:val="Emphasis"/>
        </w:rPr>
        <w:t>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0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Bold"/>
              <w:rPr>
                <w:lang w:val="en-NZ"/>
              </w:rPr>
            </w:pPr>
            <w:r w:rsidRPr="00A10CE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Bold"/>
              <w:rPr>
                <w:lang w:val="en-NZ"/>
              </w:rPr>
            </w:pPr>
            <w:r w:rsidRPr="00A10CE0">
              <w:t>Description</w:t>
            </w:r>
          </w:p>
        </w:tc>
      </w:tr>
      <w:tr w:rsidTr="00A10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"/>
              <w:rPr>
                <w:lang w:val="en-NZ"/>
              </w:rPr>
            </w:pPr>
            <w:r w:rsidRPr="00A10CE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ListBullet"/>
              <w:rPr>
                <w:lang w:val="en-NZ"/>
              </w:rPr>
            </w:pPr>
            <w:r w:rsidRPr="00A10CE0">
              <w:t>Identify requirements from basic instructions and procedures</w:t>
            </w:r>
          </w:p>
        </w:tc>
      </w:tr>
      <w:tr w:rsidTr="00A10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"/>
              <w:rPr>
                <w:lang w:val="en-NZ"/>
              </w:rPr>
            </w:pPr>
            <w:r w:rsidRPr="00A10CE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ListBullet"/>
              <w:rPr>
                <w:lang w:val="en-NZ"/>
              </w:rPr>
            </w:pPr>
            <w:r w:rsidRPr="00A10CE0">
              <w:t>Maintain basic records and observations using digital and/or paper-based formats</w:t>
            </w:r>
          </w:p>
        </w:tc>
      </w:tr>
      <w:tr w:rsidTr="00A10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"/>
              <w:rPr>
                <w:lang w:val="en-NZ"/>
              </w:rPr>
            </w:pPr>
            <w:r w:rsidRPr="00A10CE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CE0" w:rsidP="00A10CE0">
            <w:pPr>
              <w:pStyle w:val="ListBullet"/>
            </w:pPr>
            <w:r w:rsidRPr="00A10CE0">
              <w:t>Accurately interpret readings on a thermometer or temperature gauge (</w:t>
            </w:r>
            <w:r w:rsidRPr="00A10CE0">
              <w:rPr>
                <w:rStyle w:val="Symbols"/>
              </w:rPr>
              <w:t></w:t>
            </w:r>
            <w:r w:rsidRPr="00A10CE0">
              <w:t>C)</w:t>
            </w:r>
          </w:p>
          <w:p w:rsidR="00000000" w:rsidRPr="00A10CE0" w:rsidP="00A10CE0">
            <w:pPr>
              <w:pStyle w:val="ListBullet"/>
            </w:pPr>
            <w:r w:rsidRPr="00A10CE0">
              <w:t>Estimate and calculate storage and thawing times</w:t>
            </w:r>
          </w:p>
        </w:tc>
      </w:tr>
    </w:tbl>
    <w:p w:rsidR="00000000" w:rsidRPr="00A10CE0" w:rsidP="00A10CE0">
      <w:pPr>
        <w:pStyle w:val="BodyText"/>
      </w:pPr>
    </w:p>
    <w:p w:rsidR="00000000" w:rsidRPr="00A10CE0" w:rsidP="00A10CE0">
      <w:pPr>
        <w:pStyle w:val="AllowPageBreak"/>
      </w:pPr>
    </w:p>
    <w:p w:rsidR="00000000" w:rsidRPr="00A10CE0" w:rsidP="00A10CE0">
      <w:pPr>
        <w:pStyle w:val="Heading1"/>
      </w:pPr>
      <w:bookmarkStart w:id="7" w:name="O_1185521"/>
      <w:bookmarkEnd w:id="7"/>
      <w:r w:rsidRPr="00A10C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10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Bold"/>
              <w:rPr>
                <w:lang w:val="en-NZ"/>
              </w:rPr>
            </w:pPr>
            <w:r w:rsidRPr="00A10CE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Bold"/>
              <w:rPr>
                <w:lang w:val="en-NZ"/>
              </w:rPr>
            </w:pPr>
            <w:r w:rsidRPr="00A10CE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Bold"/>
              <w:rPr>
                <w:lang w:val="en-NZ"/>
              </w:rPr>
            </w:pPr>
            <w:r w:rsidRPr="00A10CE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Bold"/>
              <w:rPr>
                <w:lang w:val="en-NZ"/>
              </w:rPr>
            </w:pPr>
            <w:r w:rsidRPr="00A10CE0">
              <w:t>Equivalence status</w:t>
            </w:r>
          </w:p>
        </w:tc>
      </w:tr>
      <w:tr w:rsidTr="00A10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"/>
              <w:rPr>
                <w:lang w:val="en-NZ"/>
              </w:rPr>
            </w:pPr>
            <w:r w:rsidRPr="00A10CE0">
              <w:t>FBPHVB2001 Freeze and thaw dough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CE0">
            <w:pPr>
              <w:pStyle w:val="BodyText"/>
              <w:rPr>
                <w:lang w:val="en-NZ"/>
              </w:rPr>
            </w:pPr>
            <w:r w:rsidRPr="00A10CE0">
              <w:t>FBPOPR2055 Freeze dough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CE0" w:rsidP="00A10CE0">
            <w:pPr>
              <w:pStyle w:val="BodyText"/>
            </w:pPr>
            <w:r w:rsidRPr="00A10CE0">
              <w:t>Updated unit code and title</w:t>
            </w:r>
          </w:p>
          <w:p w:rsidR="00000000" w:rsidRPr="00A10CE0" w:rsidP="00A10CE0">
            <w:pPr>
              <w:pStyle w:val="BodyText"/>
            </w:pPr>
            <w:r w:rsidRPr="00A10CE0">
              <w:t>Minor changes to Performance Criteria to clarify task</w:t>
            </w:r>
          </w:p>
          <w:p w:rsidR="00000000" w:rsidRPr="00A10CE0" w:rsidP="00A10CE0">
            <w:pPr>
              <w:pStyle w:val="BodyText"/>
            </w:pPr>
            <w:r w:rsidRPr="00A10CE0">
              <w:t>Foundation Skills refined</w:t>
            </w:r>
          </w:p>
          <w:p w:rsidR="00000000" w:rsidRPr="00A10CE0" w:rsidP="00A10CE0">
            <w:pPr>
              <w:pStyle w:val="BodyText"/>
            </w:pPr>
            <w:r w:rsidRPr="00A10CE0">
              <w:t>Performance Evidence clarified</w:t>
            </w:r>
          </w:p>
          <w:p w:rsidR="00000000" w:rsidP="00A10CE0">
            <w:pPr>
              <w:pStyle w:val="BodyText"/>
              <w:rPr>
                <w:lang w:val="en-NZ"/>
              </w:rPr>
            </w:pPr>
            <w:r w:rsidRPr="00A10CE0">
              <w:t>Minor changes to Knowledge Evidence and Assessment Conditions to clarify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CE0" w:rsidP="00A10CE0">
            <w:pPr>
              <w:pStyle w:val="BodyText"/>
            </w:pPr>
            <w:r w:rsidRPr="00A10CE0">
              <w:t>Equivalent</w:t>
            </w:r>
          </w:p>
        </w:tc>
      </w:tr>
    </w:tbl>
    <w:p w:rsidR="00000000" w:rsidRPr="00A10CE0" w:rsidP="00A10CE0">
      <w:pPr>
        <w:pStyle w:val="BodyText"/>
      </w:pPr>
    </w:p>
    <w:p w:rsidR="00000000" w:rsidRPr="00A10CE0" w:rsidP="00A10CE0">
      <w:pPr>
        <w:pStyle w:val="AllowPageBreak"/>
      </w:pPr>
    </w:p>
    <w:p w:rsidR="00000000" w:rsidRPr="00A10CE0" w:rsidP="00A10CE0">
      <w:pPr>
        <w:pStyle w:val="Heading1"/>
      </w:pPr>
      <w:bookmarkStart w:id="8" w:name="O_1185528"/>
      <w:bookmarkEnd w:id="8"/>
      <w:r w:rsidRPr="00A10CE0">
        <w:t>Links</w:t>
      </w:r>
    </w:p>
    <w:p w:rsidR="00000000" w:rsidRPr="00A10CE0" w:rsidP="00095310">
      <w:pPr>
        <w:pStyle w:val="BodyText"/>
      </w:pPr>
      <w:r w:rsidRPr="00A10CE0">
        <w:t>Companion Volumes, including Implementation Guides, are available at VETNet</w:t>
      </w:r>
      <w:r w:rsidRPr="00A10CE0">
        <w:t xml:space="preserve">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7151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10CE0" w:rsidP="00A10CE0"/>
    <w:sectPr w:rsidSect="00A10C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CE0" w:rsidRPr="00095310" w:rsidP="000953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10" w:rsidP="00A10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5310" w:rsidP="00A10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5310" w:rsidP="00A10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0CE0" w:rsidRPr="00095310" w:rsidP="000953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10" w:rsidRPr="002D2AF8" w:rsidP="00A10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FBPHVB2001 Freeze and thaw dough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95310" w:rsidP="00A10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B49E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82B5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CE0"/>
  </w:style>
  <w:style w:type="character" w:customStyle="1" w:styleId="Heading1Char">
    <w:name w:val="Heading 1 Char"/>
    <w:basedOn w:val="DefaultParagraphFont"/>
    <w:link w:val="Heading1"/>
    <w:rsid w:val="00A10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C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0CE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10CE0"/>
    <w:rPr>
      <w:i/>
    </w:rPr>
  </w:style>
  <w:style w:type="paragraph" w:customStyle="1" w:styleId="SuperHeading">
    <w:name w:val="SuperHeading"/>
    <w:basedOn w:val="Normal"/>
    <w:rsid w:val="00A10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A10CE0"/>
    <w:rPr>
      <w:rFonts w:ascii="Symbol" w:hAnsi="Symbol"/>
    </w:rPr>
  </w:style>
  <w:style w:type="paragraph" w:customStyle="1" w:styleId="BodyTextBold">
    <w:name w:val="Body Text Bold"/>
    <w:basedOn w:val="BodyText"/>
    <w:qFormat/>
    <w:rsid w:val="00A10CE0"/>
    <w:rPr>
      <w:b/>
    </w:rPr>
  </w:style>
  <w:style w:type="character" w:customStyle="1" w:styleId="Heading2Char">
    <w:name w:val="Heading 2 Char"/>
    <w:basedOn w:val="DefaultParagraphFont"/>
    <w:link w:val="Heading2"/>
    <w:rsid w:val="00A10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C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0C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0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0CE0"/>
    <w:rPr>
      <w:b/>
      <w:spacing w:val="0"/>
    </w:rPr>
  </w:style>
  <w:style w:type="paragraph" w:customStyle="1" w:styleId="SuperTitle">
    <w:name w:val="SuperTitle"/>
    <w:basedOn w:val="Title"/>
    <w:rsid w:val="00A10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0C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0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C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0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CE0"/>
  </w:style>
  <w:style w:type="paragraph" w:styleId="TableofFigures">
    <w:name w:val="table of figures"/>
    <w:basedOn w:val="Normal"/>
    <w:next w:val="Normal"/>
    <w:semiHidden/>
    <w:rsid w:val="00A10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C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0CE0"/>
    <w:rPr>
      <w:rFonts w:ascii="Wingdings" w:hAnsi="Wingdings"/>
    </w:rPr>
  </w:style>
  <w:style w:type="paragraph" w:customStyle="1" w:styleId="TableHeading">
    <w:name w:val="Table Heading"/>
    <w:basedOn w:val="HeadingBase"/>
    <w:rsid w:val="00A10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CE0"/>
    <w:rPr>
      <w:color w:val="0033CC"/>
      <w:u w:val="none"/>
    </w:rPr>
  </w:style>
  <w:style w:type="paragraph" w:customStyle="1" w:styleId="BodyTextRight">
    <w:name w:val="Body Text Right"/>
    <w:basedOn w:val="BodyText"/>
    <w:rsid w:val="00A10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C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CE0"/>
    <w:rPr>
      <w:sz w:val="32"/>
    </w:rPr>
  </w:style>
  <w:style w:type="paragraph" w:customStyle="1" w:styleId="HeadingProcedure">
    <w:name w:val="Heading Procedure"/>
    <w:basedOn w:val="HeadingBase"/>
    <w:next w:val="Normal"/>
    <w:rsid w:val="00A10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CE0"/>
    <w:pPr>
      <w:spacing w:before="60" w:after="60"/>
    </w:pPr>
  </w:style>
  <w:style w:type="paragraph" w:styleId="ListContinue">
    <w:name w:val="List Continue"/>
    <w:basedOn w:val="List"/>
    <w:rsid w:val="00A10CE0"/>
    <w:pPr>
      <w:ind w:firstLine="0"/>
    </w:pPr>
  </w:style>
  <w:style w:type="paragraph" w:customStyle="1" w:styleId="ListNote">
    <w:name w:val="List Note"/>
    <w:basedOn w:val="List"/>
    <w:rsid w:val="00A10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CE0"/>
    <w:rPr>
      <w:rFonts w:ascii="Courier New" w:hAnsi="Courier New"/>
    </w:rPr>
  </w:style>
  <w:style w:type="paragraph" w:customStyle="1" w:styleId="NoteBullet">
    <w:name w:val="Note Bullet"/>
    <w:basedOn w:val="Note"/>
    <w:rsid w:val="00A10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C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0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CE0"/>
    <w:rPr>
      <w:b/>
      <w:smallCaps/>
    </w:rPr>
  </w:style>
  <w:style w:type="paragraph" w:customStyle="1" w:styleId="TableListNumber">
    <w:name w:val="Table List Number"/>
    <w:basedOn w:val="ListNumber"/>
    <w:rsid w:val="00A10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CE0"/>
    <w:pPr>
      <w:numPr>
        <w:numId w:val="8"/>
      </w:numPr>
    </w:pPr>
  </w:style>
  <w:style w:type="paragraph" w:customStyle="1" w:styleId="ListAlpha2">
    <w:name w:val="List Alpha 2"/>
    <w:basedOn w:val="List2"/>
    <w:rsid w:val="00A10CE0"/>
    <w:pPr>
      <w:numPr>
        <w:numId w:val="7"/>
      </w:numPr>
    </w:pPr>
  </w:style>
  <w:style w:type="paragraph" w:styleId="List2">
    <w:name w:val="List 2"/>
    <w:basedOn w:val="BodyText"/>
    <w:rsid w:val="00A10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C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C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C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0CE0"/>
    <w:pPr>
      <w:numPr>
        <w:numId w:val="3"/>
      </w:numPr>
    </w:pPr>
  </w:style>
  <w:style w:type="paragraph" w:styleId="ListContinue2">
    <w:name w:val="List Continue 2"/>
    <w:basedOn w:val="List2"/>
    <w:rsid w:val="00A10CE0"/>
    <w:pPr>
      <w:ind w:firstLine="0"/>
    </w:pPr>
  </w:style>
  <w:style w:type="paragraph" w:styleId="ListContinue3">
    <w:name w:val="List Continue 3"/>
    <w:basedOn w:val="List3"/>
    <w:rsid w:val="00A10CE0"/>
    <w:pPr>
      <w:ind w:left="1021" w:firstLine="0"/>
    </w:pPr>
  </w:style>
  <w:style w:type="paragraph" w:styleId="ListContinue4">
    <w:name w:val="List Continue 4"/>
    <w:basedOn w:val="List4"/>
    <w:rsid w:val="00A10CE0"/>
    <w:pPr>
      <w:ind w:firstLine="0"/>
    </w:pPr>
  </w:style>
  <w:style w:type="paragraph" w:styleId="ListContinue5">
    <w:name w:val="List Continue 5"/>
    <w:basedOn w:val="List5"/>
    <w:rsid w:val="00A10CE0"/>
    <w:pPr>
      <w:ind w:firstLine="0"/>
    </w:pPr>
  </w:style>
  <w:style w:type="paragraph" w:styleId="ListNumber3">
    <w:name w:val="List Number 3"/>
    <w:basedOn w:val="List3"/>
    <w:rsid w:val="00A10CE0"/>
    <w:pPr>
      <w:numPr>
        <w:numId w:val="4"/>
      </w:numPr>
    </w:pPr>
  </w:style>
  <w:style w:type="paragraph" w:styleId="ListNumber4">
    <w:name w:val="List Number 4"/>
    <w:basedOn w:val="List4"/>
    <w:rsid w:val="00A10CE0"/>
    <w:pPr>
      <w:numPr>
        <w:numId w:val="5"/>
      </w:numPr>
    </w:pPr>
  </w:style>
  <w:style w:type="paragraph" w:styleId="ListNumber5">
    <w:name w:val="List Number 5"/>
    <w:basedOn w:val="List5"/>
    <w:rsid w:val="00A10CE0"/>
    <w:pPr>
      <w:numPr>
        <w:numId w:val="6"/>
      </w:numPr>
    </w:pPr>
  </w:style>
  <w:style w:type="paragraph" w:styleId="BlockText">
    <w:name w:val="Block Text"/>
    <w:basedOn w:val="Normal"/>
    <w:rsid w:val="00A10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CE0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A10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CE0"/>
    <w:rPr>
      <w:b/>
    </w:rPr>
  </w:style>
  <w:style w:type="character" w:customStyle="1" w:styleId="Underlined">
    <w:name w:val="Underlined"/>
    <w:basedOn w:val="DefaultParagraphFont"/>
    <w:rsid w:val="00A10CE0"/>
    <w:rPr>
      <w:u w:val="single"/>
    </w:rPr>
  </w:style>
  <w:style w:type="paragraph" w:customStyle="1" w:styleId="TableBodyTextRight">
    <w:name w:val="Table Body Text Right"/>
    <w:basedOn w:val="TableBodyText"/>
    <w:rsid w:val="00A10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CE0"/>
    <w:rPr>
      <w:sz w:val="18"/>
    </w:rPr>
  </w:style>
  <w:style w:type="paragraph" w:customStyle="1" w:styleId="BodySmallRight">
    <w:name w:val="Body Small Right"/>
    <w:basedOn w:val="BodyTextRight"/>
    <w:rsid w:val="00A10CE0"/>
    <w:rPr>
      <w:sz w:val="18"/>
      <w:szCs w:val="18"/>
    </w:rPr>
  </w:style>
  <w:style w:type="paragraph" w:customStyle="1" w:styleId="MarginEdition">
    <w:name w:val="Margin Edition"/>
    <w:basedOn w:val="MarginNote"/>
    <w:rsid w:val="00A10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CE0"/>
    <w:rPr>
      <w:sz w:val="2"/>
      <w:szCs w:val="2"/>
    </w:rPr>
  </w:style>
  <w:style w:type="character" w:customStyle="1" w:styleId="Small">
    <w:name w:val="Small"/>
    <w:basedOn w:val="DefaultParagraphFont"/>
    <w:rsid w:val="00A10CE0"/>
    <w:rPr>
      <w:sz w:val="16"/>
    </w:rPr>
  </w:style>
  <w:style w:type="paragraph" w:customStyle="1" w:styleId="WideTable">
    <w:name w:val="Wide Table"/>
    <w:basedOn w:val="Normal"/>
    <w:rsid w:val="00A10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CE0"/>
  </w:style>
  <w:style w:type="paragraph" w:styleId="Quote">
    <w:name w:val="Quote"/>
    <w:basedOn w:val="Heading1"/>
    <w:link w:val="QuoteChar"/>
    <w:qFormat/>
    <w:rsid w:val="00A10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CE0"/>
    <w:pPr>
      <w:pageBreakBefore/>
    </w:pPr>
  </w:style>
  <w:style w:type="paragraph" w:customStyle="1" w:styleId="Border">
    <w:name w:val="Border"/>
    <w:basedOn w:val="Normal"/>
    <w:qFormat/>
    <w:rsid w:val="00A10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CE0"/>
    <w:rPr>
      <w:u w:val="single"/>
    </w:rPr>
  </w:style>
  <w:style w:type="character" w:customStyle="1" w:styleId="BoldandItalics">
    <w:name w:val="Bold and Italics"/>
    <w:qFormat/>
    <w:rsid w:val="00A10CE0"/>
    <w:rPr>
      <w:b/>
      <w:i/>
      <w:u w:val="none"/>
    </w:rPr>
  </w:style>
  <w:style w:type="paragraph" w:styleId="BalloonText">
    <w:name w:val="Balloon Text"/>
    <w:basedOn w:val="Normal"/>
    <w:link w:val="BalloonTextChar"/>
    <w:rsid w:val="00A10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0C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53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3128</Characters>
  <Application>Microsoft Office Word</Application>
  <DocSecurity>0</DocSecurity>
  <Lines>120</Lines>
  <Paragraphs>80</Paragraphs>
  <ScaleCrop>false</ScaleCrop>
  <Company>Author-it Software Corporation Ltd.</Company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FBPHVB2001 Freeze and thaw dough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2023-01-26T22:03:00Z</dcterms:created>
  <dcterms:modified xsi:type="dcterms:W3CDTF">2023-01-26T22:03:00Z</dcterms:modified>
</cp:coreProperties>
</file>