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2495" w:rsidP="00182495">
      <w:pPr>
        <w:pStyle w:val="Title"/>
      </w:pPr>
      <w:r>
        <w:fldChar w:fldCharType="begin"/>
      </w:r>
      <w:r>
        <w:instrText xml:space="preserve"> TITLE   \* MERGEFORMAT </w:instrText>
      </w:r>
      <w:r>
        <w:fldChar w:fldCharType="separate"/>
      </w:r>
      <w:r>
        <w:t>FBPGRA4001 Control power and automation for milling processes</w:t>
      </w:r>
      <w:r>
        <w:fldChar w:fldCharType="end"/>
      </w:r>
    </w:p>
    <w:p w:rsidR="00182495" w:rsidP="00182495">
      <w:pPr>
        <w:pStyle w:val="Version"/>
        <w:sectPr w:rsidSect="002C2E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EAE" w:rsidP="002C2EAE">
      <w:pPr>
        <w:pStyle w:val="SuperHeading"/>
      </w:pPr>
      <w:r w:rsidRPr="002C2EAE">
        <w:t>FBPGRA4001 Control power and automation for milling processes</w:t>
      </w:r>
    </w:p>
    <w:p w:rsidR="00000000" w:rsidRPr="002C2EAE" w:rsidP="002C2EAE">
      <w:pPr>
        <w:pStyle w:val="Heading1"/>
      </w:pPr>
      <w:bookmarkStart w:id="1" w:name="O_971065"/>
      <w:bookmarkEnd w:id="1"/>
      <w:r w:rsidRPr="002C2EAE">
        <w:t>Modification History</w:t>
      </w:r>
    </w:p>
    <w:tbl>
      <w:tblPr>
        <w:tblW w:w="9520" w:type="dxa"/>
        <w:tblLayout w:type="fixed"/>
        <w:tblCellMar>
          <w:left w:w="62" w:type="dxa"/>
          <w:right w:w="62" w:type="dxa"/>
        </w:tblCellMar>
        <w:tblLook w:val="0000"/>
      </w:tblPr>
      <w:tblGrid>
        <w:gridCol w:w="2581"/>
        <w:gridCol w:w="6939"/>
      </w:tblGrid>
      <w:tr w:rsidTr="002C2EA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EAE" w:rsidP="002C2EAE">
            <w:pPr>
              <w:pStyle w:val="BodyText"/>
            </w:pPr>
            <w:r w:rsidRPr="002C2EA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EAE">
            <w:pPr>
              <w:pStyle w:val="BodyText"/>
              <w:rPr>
                <w:lang w:val="en-NZ"/>
              </w:rPr>
            </w:pPr>
            <w:r w:rsidRPr="002C2EAE">
              <w:rPr>
                <w:rStyle w:val="SpecialBold"/>
              </w:rPr>
              <w:t>Comments</w:t>
            </w:r>
          </w:p>
        </w:tc>
      </w:tr>
      <w:tr w:rsidTr="002C2EA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EAE">
            <w:pPr>
              <w:pStyle w:val="BodyText"/>
              <w:rPr>
                <w:lang w:val="en-NZ"/>
              </w:rPr>
            </w:pPr>
            <w:r w:rsidRPr="002C2EA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EAE" w:rsidP="002C2EAE">
            <w:pPr>
              <w:pStyle w:val="BodyText"/>
            </w:pPr>
            <w:r w:rsidRPr="002C2EAE">
              <w:t>This version released with FBP Food, Beverage and Pharmaceutical Training Package version 1.0.</w:t>
            </w:r>
          </w:p>
        </w:tc>
      </w:tr>
    </w:tbl>
    <w:p w:rsidR="00000000" w:rsidRPr="002C2EAE" w:rsidP="002C2EAE">
      <w:pPr>
        <w:pStyle w:val="BodyText"/>
      </w:pPr>
    </w:p>
    <w:p w:rsidR="00000000" w:rsidRPr="002C2EAE" w:rsidP="002C2EAE">
      <w:pPr>
        <w:pStyle w:val="AllowPageBreak"/>
      </w:pPr>
    </w:p>
    <w:p w:rsidR="00000000" w:rsidRPr="002C2EAE" w:rsidP="002C2EAE">
      <w:pPr>
        <w:pStyle w:val="Heading1"/>
      </w:pPr>
      <w:bookmarkStart w:id="2" w:name="O_971066"/>
      <w:bookmarkEnd w:id="2"/>
      <w:r w:rsidRPr="002C2EAE">
        <w:t>Application</w:t>
      </w:r>
    </w:p>
    <w:p w:rsidR="00000000" w:rsidRPr="002C2EAE" w:rsidP="00182495">
      <w:pPr>
        <w:pStyle w:val="BodyText"/>
      </w:pPr>
      <w:r w:rsidRPr="002C2EAE">
        <w:t>This unit of competency describes the skills and knowledge required to match milling requirements to available services and equipment.</w:t>
      </w:r>
    </w:p>
    <w:p w:rsidR="00000000" w:rsidRPr="002C2EAE" w:rsidP="00182495">
      <w:pPr>
        <w:pStyle w:val="BodyText"/>
      </w:pPr>
      <w:r w:rsidRPr="002C2EAE">
        <w:t>The unit applies to millers who are required to set and control milling equipment in industrial flour mills, including se</w:t>
      </w:r>
      <w:r w:rsidRPr="002C2EAE">
        <w:t>molina mills and mills without purifiers. It includes development of strategies for effective use of power and automation, and directing programmed and other maintenance in order to ensure that milling performance is maintained.</w:t>
      </w:r>
    </w:p>
    <w:p w:rsidR="00000000" w:rsidRPr="002C2EAE" w:rsidP="00182495">
      <w:pPr>
        <w:pStyle w:val="BodyText"/>
      </w:pPr>
      <w:r w:rsidRPr="002C2EAE">
        <w:t>All work must be carried ou</w:t>
      </w:r>
      <w:r w:rsidRPr="002C2EAE">
        <w:t>t to comply with workplace procedures, in accordance with State/Territory work health and safety legislation that apply to the workplace.</w:t>
      </w:r>
    </w:p>
    <w:p w:rsidR="00000000" w:rsidRPr="002C2EAE" w:rsidP="00182495">
      <w:pPr>
        <w:pStyle w:val="BodyText"/>
      </w:pPr>
      <w:r w:rsidRPr="002C2EAE">
        <w:t>No occupational licensing, legislative or certification requirements apply to this unit at the time of publication.</w:t>
      </w:r>
    </w:p>
    <w:p w:rsidR="00000000" w:rsidRPr="002C2EAE" w:rsidP="002C2EAE">
      <w:pPr>
        <w:pStyle w:val="Heading1"/>
      </w:pPr>
      <w:bookmarkStart w:id="3" w:name="O_971067"/>
      <w:bookmarkEnd w:id="3"/>
      <w:r w:rsidRPr="002C2EAE">
        <w:t>Pre-requisite Unit</w:t>
      </w:r>
    </w:p>
    <w:p w:rsidR="00000000" w:rsidRPr="002C2EAE" w:rsidP="00182495">
      <w:pPr>
        <w:pStyle w:val="BodyText"/>
      </w:pPr>
      <w:r w:rsidRPr="002C2EAE">
        <w:t>Nil</w:t>
      </w:r>
    </w:p>
    <w:p w:rsidR="00000000" w:rsidRPr="002C2EAE" w:rsidP="002C2EAE">
      <w:pPr>
        <w:pStyle w:val="Heading1"/>
      </w:pPr>
      <w:bookmarkStart w:id="4" w:name="O_971069"/>
      <w:bookmarkEnd w:id="4"/>
      <w:r w:rsidRPr="002C2EAE">
        <w:t>Unit Sector</w:t>
      </w:r>
    </w:p>
    <w:p w:rsidR="00000000" w:rsidRPr="002C2EAE" w:rsidP="00182495">
      <w:pPr>
        <w:pStyle w:val="BodyText"/>
      </w:pPr>
      <w:r w:rsidRPr="002C2EAE">
        <w:t>Grain processing (GRA)</w:t>
      </w:r>
    </w:p>
    <w:p w:rsidR="00000000" w:rsidRPr="002C2EAE" w:rsidP="002C2EAE">
      <w:pPr>
        <w:pStyle w:val="Heading1"/>
      </w:pPr>
      <w:bookmarkStart w:id="5" w:name="O_971070"/>
      <w:bookmarkEnd w:id="5"/>
      <w:r w:rsidRPr="002C2EAE">
        <w:t>Elements and Performance Criteria</w:t>
      </w:r>
    </w:p>
    <w:tbl>
      <w:tblPr>
        <w:tblW w:w="9520" w:type="dxa"/>
        <w:tblLayout w:type="fixed"/>
        <w:tblCellMar>
          <w:left w:w="62" w:type="dxa"/>
          <w:right w:w="62" w:type="dxa"/>
        </w:tblCellMar>
        <w:tblLook w:val="0000"/>
      </w:tblPr>
      <w:tblGrid>
        <w:gridCol w:w="2580"/>
        <w:gridCol w:w="6940"/>
      </w:tblGrid>
      <w:tr w:rsidTr="0018249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C2EAE" w:rsidP="002C2EAE">
            <w:pPr>
              <w:pStyle w:val="BodyText"/>
            </w:pPr>
            <w:r w:rsidRPr="002C2EAE">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2EAE">
            <w:pPr>
              <w:pStyle w:val="BodyText"/>
              <w:rPr>
                <w:lang w:val="en-NZ"/>
              </w:rPr>
            </w:pPr>
            <w:r w:rsidRPr="002C2EAE">
              <w:rPr>
                <w:rStyle w:val="SpecialBold"/>
              </w:rPr>
              <w:t>Performance Criteria</w:t>
            </w:r>
          </w:p>
        </w:tc>
      </w:tr>
      <w:tr w:rsidTr="00182495">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C2EAE" w:rsidP="002C2EAE">
            <w:pPr>
              <w:pStyle w:val="BodyText"/>
            </w:pPr>
            <w:r w:rsidRPr="002C2EA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2EAE">
            <w:pPr>
              <w:pStyle w:val="BodyText"/>
              <w:rPr>
                <w:lang w:val="en-NZ"/>
              </w:rPr>
            </w:pPr>
            <w:r w:rsidRPr="002C2EAE">
              <w:rPr>
                <w:rStyle w:val="Emphasis"/>
              </w:rPr>
              <w:t>Performance criteria describe the performance needed to demonstrate achievement of the element.</w:t>
            </w:r>
          </w:p>
        </w:tc>
      </w:tr>
      <w:tr w:rsidTr="001824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EAE">
            <w:pPr>
              <w:pStyle w:val="BodyText"/>
              <w:rPr>
                <w:lang w:val="en-NZ"/>
              </w:rPr>
            </w:pPr>
            <w:r w:rsidRPr="002C2EAE">
              <w:t xml:space="preserve">1. Establish range of utilities and services </w:t>
            </w:r>
            <w:r w:rsidRPr="002C2EAE">
              <w:t>used by mill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EAE" w:rsidP="002C2EAE">
            <w:pPr>
              <w:pStyle w:val="BodyText"/>
            </w:pPr>
            <w:r w:rsidRPr="002C2EAE">
              <w:t>1.1 Identify distributed services used in mill</w:t>
            </w:r>
          </w:p>
          <w:p w:rsidR="00000000" w:rsidRPr="002C2EAE" w:rsidP="002C2EAE">
            <w:pPr>
              <w:pStyle w:val="BodyText"/>
            </w:pPr>
            <w:r w:rsidRPr="002C2EAE">
              <w:t>1.2 Ensure schematics showing location and distributio</w:t>
            </w:r>
            <w:r w:rsidRPr="002C2EAE">
              <w:t xml:space="preserve">n of services </w:t>
            </w:r>
            <w:r w:rsidRPr="002C2EAE">
              <w:t>are available and understood by key personnel</w:t>
            </w:r>
          </w:p>
          <w:p w:rsidR="00000000" w:rsidRPr="002C2EAE" w:rsidP="002C2EAE">
            <w:pPr>
              <w:pStyle w:val="BodyText"/>
            </w:pPr>
            <w:r w:rsidRPr="002C2EAE">
              <w:t>1.3 Categorise services as critical to mill operation or ancillary according to workplace procedures</w:t>
            </w:r>
          </w:p>
          <w:p w:rsidR="00000000" w:rsidP="002C2EAE">
            <w:pPr>
              <w:pStyle w:val="BodyText"/>
              <w:rPr>
                <w:lang w:val="en-NZ"/>
              </w:rPr>
            </w:pPr>
            <w:r w:rsidRPr="002C2EAE">
              <w:t>1.4 Develop contingency strategies in the event of utilities and services requiring maintenance</w:t>
            </w:r>
            <w:r w:rsidRPr="002C2EAE">
              <w:t xml:space="preserve"> or repair</w:t>
            </w:r>
          </w:p>
        </w:tc>
      </w:tr>
      <w:tr w:rsidTr="001824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EAE">
            <w:pPr>
              <w:pStyle w:val="BodyText"/>
              <w:rPr>
                <w:lang w:val="en-NZ"/>
              </w:rPr>
            </w:pPr>
            <w:r w:rsidRPr="002C2EAE">
              <w:t>2. Review mill electric power system for start-up and power demand management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EAE" w:rsidP="002C2EAE">
            <w:pPr>
              <w:pStyle w:val="BodyText"/>
            </w:pPr>
            <w:r w:rsidRPr="002C2EAE">
              <w:t>2.1 Identify mains supply terminal, input voltage and electricity supplier</w:t>
            </w:r>
          </w:p>
          <w:p w:rsidR="00000000" w:rsidRPr="002C2EAE" w:rsidP="002C2EAE">
            <w:pPr>
              <w:pStyle w:val="BodyText"/>
            </w:pPr>
            <w:r w:rsidRPr="002C2EAE">
              <w:t>2.2 Identify mill transformers and distribution to sub-mains</w:t>
            </w:r>
          </w:p>
          <w:p w:rsidR="00000000" w:rsidRPr="002C2EAE" w:rsidP="002C2EAE">
            <w:pPr>
              <w:pStyle w:val="BodyText"/>
            </w:pPr>
            <w:r w:rsidRPr="002C2EAE">
              <w:t>2.3 Identify back-up generation and supply system, including automatic and manual operation conditions</w:t>
            </w:r>
          </w:p>
          <w:p w:rsidR="00000000" w:rsidRPr="002C2EAE" w:rsidP="002C2EAE">
            <w:pPr>
              <w:pStyle w:val="BodyText"/>
            </w:pPr>
            <w:r w:rsidRPr="002C2EAE">
              <w:t>2.4 Identify location of mill equipment and areas supplied by each sub-main and switchboard</w:t>
            </w:r>
          </w:p>
          <w:p w:rsidR="00000000" w:rsidRPr="002C2EAE" w:rsidP="002C2EAE">
            <w:pPr>
              <w:pStyle w:val="BodyText"/>
            </w:pPr>
            <w:r w:rsidRPr="002C2EAE">
              <w:t>2.5 Recognise key features and requirements of installed elec</w:t>
            </w:r>
            <w:r w:rsidRPr="002C2EAE">
              <w:t>trical safety systems, including lock off and isolation switches</w:t>
            </w:r>
          </w:p>
          <w:p w:rsidR="00000000" w:rsidRPr="002C2EAE" w:rsidP="002C2EAE">
            <w:pPr>
              <w:pStyle w:val="BodyText"/>
            </w:pPr>
            <w:r w:rsidRPr="002C2EAE">
              <w:t>2.6 Obtain maximum demand and diversity factor (power factor correction) and identify implications for mill operations</w:t>
            </w:r>
          </w:p>
          <w:p w:rsidR="00000000" w:rsidP="002C2EAE">
            <w:pPr>
              <w:pStyle w:val="BodyText"/>
              <w:rPr>
                <w:lang w:val="en-NZ"/>
              </w:rPr>
            </w:pPr>
            <w:r w:rsidRPr="002C2EAE">
              <w:t>2.7 Establish motor control and start-up procedures according to manufac</w:t>
            </w:r>
            <w:r w:rsidRPr="002C2EAE">
              <w:t>turer, engineer and supply authority procedures</w:t>
            </w:r>
          </w:p>
        </w:tc>
      </w:tr>
      <w:tr w:rsidTr="001824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EAE">
            <w:pPr>
              <w:pStyle w:val="BodyText"/>
              <w:rPr>
                <w:lang w:val="en-NZ"/>
              </w:rPr>
            </w:pPr>
            <w:r w:rsidRPr="002C2EAE">
              <w:t>3. Establish scope of hydrocarbon fuel use by mill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EAE" w:rsidP="002C2EAE">
            <w:pPr>
              <w:pStyle w:val="BodyText"/>
            </w:pPr>
            <w:r w:rsidRPr="002C2EAE">
              <w:t>3.1 Identify capacity and fuel use of any on-site boilers</w:t>
            </w:r>
          </w:p>
          <w:p w:rsidR="00000000" w:rsidRPr="002C2EAE" w:rsidP="002C2EAE">
            <w:pPr>
              <w:pStyle w:val="BodyText"/>
            </w:pPr>
            <w:r w:rsidRPr="002C2EAE">
              <w:t>3.2 Locate emergency generators and their fuel source</w:t>
            </w:r>
          </w:p>
          <w:p w:rsidR="00000000" w:rsidRPr="002C2EAE" w:rsidP="002C2EAE">
            <w:pPr>
              <w:pStyle w:val="BodyText"/>
            </w:pPr>
            <w:r w:rsidRPr="002C2EAE">
              <w:t>3.3 Identify other fuel-powered equipment an</w:t>
            </w:r>
            <w:r w:rsidRPr="002C2EAE">
              <w:t>d processes</w:t>
            </w:r>
          </w:p>
          <w:p w:rsidR="00000000" w:rsidP="002C2EAE">
            <w:pPr>
              <w:pStyle w:val="BodyText"/>
              <w:rPr>
                <w:lang w:val="en-NZ"/>
              </w:rPr>
            </w:pPr>
            <w:r w:rsidRPr="002C2EAE">
              <w:t>3.4 Locate location of fuel reservoirs/tanks and review against mill strategy for the prevention of dust explosions</w:t>
            </w:r>
          </w:p>
        </w:tc>
      </w:tr>
      <w:tr w:rsidTr="001824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EAE">
            <w:pPr>
              <w:pStyle w:val="BodyText"/>
              <w:rPr>
                <w:lang w:val="en-NZ"/>
              </w:rPr>
            </w:pPr>
            <w:r w:rsidRPr="002C2EAE">
              <w:t>4. Establish type and location of mill controls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EAE" w:rsidP="002C2EAE">
            <w:pPr>
              <w:pStyle w:val="BodyText"/>
            </w:pPr>
            <w:r w:rsidRPr="002C2EAE">
              <w:t>4.1 Identify mill operations and equipment controlled automatically</w:t>
            </w:r>
          </w:p>
          <w:p w:rsidR="00000000" w:rsidRPr="002C2EAE" w:rsidP="002C2EAE">
            <w:pPr>
              <w:pStyle w:val="BodyText"/>
            </w:pPr>
            <w:r w:rsidRPr="002C2EAE">
              <w:t>4.2 Identif</w:t>
            </w:r>
            <w:r w:rsidRPr="002C2EAE">
              <w:t>y mill operations and equipment controlled through central process control stations/terminals</w:t>
            </w:r>
          </w:p>
          <w:p w:rsidR="00000000" w:rsidRPr="002C2EAE" w:rsidP="002C2EAE">
            <w:pPr>
              <w:pStyle w:val="BodyText"/>
            </w:pPr>
            <w:r w:rsidRPr="002C2EAE">
              <w:t>4.3 Identify mill operations and equipment controlled manually</w:t>
            </w:r>
          </w:p>
          <w:p w:rsidR="00000000" w:rsidP="002C2EAE">
            <w:pPr>
              <w:pStyle w:val="BodyText"/>
              <w:rPr>
                <w:lang w:val="en-NZ"/>
              </w:rPr>
            </w:pPr>
            <w:r w:rsidRPr="002C2EAE">
              <w:t>4.4 Determine back-up strategies for mill control in the event of failure of control equipment</w:t>
            </w:r>
          </w:p>
        </w:tc>
      </w:tr>
      <w:tr w:rsidTr="001824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EAE">
            <w:pPr>
              <w:pStyle w:val="BodyText"/>
              <w:rPr>
                <w:lang w:val="en-NZ"/>
              </w:rPr>
            </w:pPr>
            <w:r w:rsidRPr="002C2EAE">
              <w:t>5. Control pneumatic conveying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EAE" w:rsidP="002C2EAE">
            <w:pPr>
              <w:pStyle w:val="BodyText"/>
            </w:pPr>
            <w:r w:rsidRPr="002C2EAE">
              <w:t>5.1 Determine processes where negative or positive pressure is required</w:t>
            </w:r>
          </w:p>
          <w:p w:rsidR="00000000" w:rsidRPr="002C2EAE" w:rsidP="002C2EAE">
            <w:pPr>
              <w:pStyle w:val="BodyText"/>
            </w:pPr>
            <w:r w:rsidRPr="002C2EAE">
              <w:t>5.2 Monitor air speed and volume requirements for conveying tasks</w:t>
            </w:r>
          </w:p>
          <w:p w:rsidR="00000000" w:rsidRPr="002C2EAE" w:rsidP="002C2EAE">
            <w:pPr>
              <w:pStyle w:val="BodyText"/>
            </w:pPr>
            <w:r w:rsidRPr="002C2EAE">
              <w:t>5.3 Select air speed and volume appropriate for exhausts</w:t>
            </w:r>
          </w:p>
          <w:p w:rsidR="00000000" w:rsidRPr="002C2EAE" w:rsidP="002C2EAE">
            <w:pPr>
              <w:pStyle w:val="BodyText"/>
            </w:pPr>
            <w:r w:rsidRPr="002C2EAE">
              <w:t>5.4 Balance negative pr</w:t>
            </w:r>
            <w:r w:rsidRPr="002C2EAE">
              <w:t>essure systems according to mill operation procedures</w:t>
            </w:r>
          </w:p>
          <w:p w:rsidR="00000000" w:rsidRPr="002C2EAE" w:rsidP="002C2EAE">
            <w:pPr>
              <w:pStyle w:val="BodyText"/>
            </w:pPr>
            <w:r w:rsidRPr="002C2EAE">
              <w:t>5.5 Monitor for abnormal increases in blow-line pressure</w:t>
            </w:r>
          </w:p>
          <w:p w:rsidR="00000000" w:rsidP="002C2EAE">
            <w:pPr>
              <w:pStyle w:val="BodyText"/>
              <w:rPr>
                <w:lang w:val="en-NZ"/>
              </w:rPr>
            </w:pPr>
            <w:r w:rsidRPr="002C2EAE">
              <w:t>5.6 Determine cleaning intervals for dust collectors</w:t>
            </w:r>
          </w:p>
        </w:tc>
      </w:tr>
      <w:tr w:rsidTr="001824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EAE">
            <w:pPr>
              <w:pStyle w:val="BodyText"/>
              <w:rPr>
                <w:lang w:val="en-NZ"/>
              </w:rPr>
            </w:pPr>
            <w:r w:rsidRPr="002C2EAE">
              <w:t>6. Control wheat damping and conditioning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EAE" w:rsidP="002C2EAE">
            <w:pPr>
              <w:pStyle w:val="BodyText"/>
            </w:pPr>
            <w:r w:rsidRPr="002C2EAE">
              <w:t>6.1 Monitor adequacy of water supply according to</w:t>
            </w:r>
            <w:r w:rsidRPr="002C2EAE">
              <w:t xml:space="preserve"> mill operation procedures</w:t>
            </w:r>
          </w:p>
          <w:p w:rsidR="00000000" w:rsidRPr="002C2EAE" w:rsidP="002C2EAE">
            <w:pPr>
              <w:pStyle w:val="BodyText"/>
            </w:pPr>
            <w:r w:rsidRPr="002C2EAE">
              <w:t>6.2 Determine if feed forward or feedback system is used</w:t>
            </w:r>
          </w:p>
          <w:p w:rsidR="00000000" w:rsidRPr="002C2EAE" w:rsidP="002C2EAE">
            <w:pPr>
              <w:pStyle w:val="BodyText"/>
            </w:pPr>
            <w:r w:rsidRPr="002C2EAE">
              <w:t>6.3 Supervise moisture testing of wheat according to workplace procedures</w:t>
            </w:r>
          </w:p>
          <w:p w:rsidR="00000000" w:rsidP="002C2EAE">
            <w:pPr>
              <w:pStyle w:val="BodyText"/>
              <w:rPr>
                <w:lang w:val="en-NZ"/>
              </w:rPr>
            </w:pPr>
            <w:r w:rsidRPr="002C2EAE">
              <w:t>6.4 Set damping system controls for desired moisture level taking into account feed rate and lying</w:t>
            </w:r>
            <w:r w:rsidRPr="002C2EAE">
              <w:t>-in time</w:t>
            </w:r>
          </w:p>
        </w:tc>
      </w:tr>
      <w:tr w:rsidTr="001824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EAE">
            <w:pPr>
              <w:pStyle w:val="BodyText"/>
              <w:rPr>
                <w:lang w:val="en-NZ"/>
              </w:rPr>
            </w:pPr>
            <w:r w:rsidRPr="002C2EAE">
              <w:t>7. Establish strategies and practices for efficient use of power and automation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EAE" w:rsidP="002C2EAE">
            <w:pPr>
              <w:pStyle w:val="BodyText"/>
            </w:pPr>
            <w:r w:rsidRPr="002C2EAE">
              <w:t>7.1 Maximise throughput to mill capacity where possible</w:t>
            </w:r>
          </w:p>
          <w:p w:rsidR="00000000" w:rsidRPr="002C2EAE" w:rsidP="002C2EAE">
            <w:pPr>
              <w:pStyle w:val="BodyText"/>
            </w:pPr>
            <w:r w:rsidRPr="002C2EAE">
              <w:t>7.2 Ensure manufacturer maintenance and lubrication schedules are followed</w:t>
            </w:r>
          </w:p>
          <w:p w:rsidR="00000000" w:rsidRPr="002C2EAE" w:rsidP="002C2EAE">
            <w:pPr>
              <w:pStyle w:val="BodyText"/>
            </w:pPr>
            <w:r w:rsidRPr="002C2EAE">
              <w:t>7.3 Ensure standard operating proce</w:t>
            </w:r>
            <w:r w:rsidRPr="002C2EAE">
              <w:t>dures (SOPs) for controls and workstations are developed and up to date</w:t>
            </w:r>
          </w:p>
        </w:tc>
      </w:tr>
    </w:tbl>
    <w:p w:rsidR="00000000" w:rsidRPr="002C2EAE" w:rsidP="002C2EAE">
      <w:pPr>
        <w:pStyle w:val="BodyText"/>
      </w:pPr>
    </w:p>
    <w:p w:rsidR="00000000" w:rsidRPr="002C2EAE" w:rsidP="002C2EAE">
      <w:pPr>
        <w:pStyle w:val="AllowPageBreak"/>
      </w:pPr>
    </w:p>
    <w:p w:rsidR="00000000" w:rsidRPr="002C2EAE" w:rsidP="002C2EAE">
      <w:pPr>
        <w:pStyle w:val="Heading1"/>
      </w:pPr>
      <w:bookmarkStart w:id="6" w:name="O_971071"/>
      <w:bookmarkEnd w:id="6"/>
      <w:r w:rsidRPr="002C2EAE">
        <w:t>Foundation Skills</w:t>
      </w:r>
    </w:p>
    <w:p w:rsidR="00000000" w:rsidRPr="00182495" w:rsidP="00182495">
      <w:pPr>
        <w:pStyle w:val="BodyText"/>
        <w:rPr>
          <w:i/>
        </w:rPr>
      </w:pPr>
      <w:r w:rsidRPr="00182495">
        <w:rPr>
          <w:rStyle w:val="Emphasis"/>
        </w:rPr>
        <w:t>This section describes those language, literacy, n</w:t>
      </w:r>
      <w:r w:rsidRPr="00182495">
        <w:rPr>
          <w:rStyle w:val="Emphasis"/>
        </w:rPr>
        <w:t>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C2EA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EAE" w:rsidP="002C2EAE">
            <w:pPr>
              <w:pStyle w:val="BodyText"/>
            </w:pPr>
            <w:r w:rsidRPr="002C2EAE">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EAE">
            <w:pPr>
              <w:pStyle w:val="BodyText"/>
              <w:rPr>
                <w:lang w:val="en-NZ"/>
              </w:rPr>
            </w:pPr>
            <w:r w:rsidRPr="002C2EAE">
              <w:rPr>
                <w:rStyle w:val="SpecialBold"/>
              </w:rPr>
              <w:t>Description</w:t>
            </w:r>
          </w:p>
        </w:tc>
      </w:tr>
      <w:tr w:rsidTr="002C2E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EAE">
            <w:pPr>
              <w:pStyle w:val="BodyText"/>
              <w:rPr>
                <w:lang w:val="en-NZ"/>
              </w:rPr>
            </w:pPr>
            <w:r w:rsidRPr="002C2EA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EAE" w:rsidP="002C2EAE">
            <w:pPr>
              <w:pStyle w:val="ListBullet"/>
            </w:pPr>
            <w:r w:rsidRPr="002C2EAE">
              <w:t>Identify maximum power demand for mill</w:t>
            </w:r>
          </w:p>
          <w:p w:rsidR="00000000" w:rsidP="002C2EAE">
            <w:pPr>
              <w:pStyle w:val="ListBullet"/>
              <w:rPr>
                <w:lang w:val="en-NZ"/>
              </w:rPr>
            </w:pPr>
            <w:r w:rsidRPr="002C2EAE">
              <w:t>Identify typical range of power demand for mil</w:t>
            </w:r>
            <w:r w:rsidRPr="002C2EAE">
              <w:t>l, taking into account scope of equipment and average production requirements</w:t>
            </w:r>
          </w:p>
        </w:tc>
      </w:tr>
      <w:tr w:rsidTr="002C2E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EAE">
            <w:pPr>
              <w:pStyle w:val="BodyText"/>
              <w:rPr>
                <w:lang w:val="en-NZ"/>
              </w:rPr>
            </w:pPr>
            <w:r w:rsidRPr="002C2EAE">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EAE" w:rsidP="002C2EAE">
            <w:pPr>
              <w:pStyle w:val="ListBullet"/>
            </w:pPr>
            <w:r w:rsidRPr="002C2EAE">
              <w:t>Challenge and develop own management style and innovative practices</w:t>
            </w:r>
          </w:p>
          <w:p w:rsidR="00000000" w:rsidRPr="002C2EAE" w:rsidP="002C2EAE">
            <w:pPr>
              <w:pStyle w:val="ListBullet"/>
            </w:pPr>
            <w:r w:rsidRPr="002C2EAE">
              <w:t>Monitor adherence to legal and regulatory standards and responsibilities for self and others</w:t>
            </w:r>
          </w:p>
          <w:p w:rsidR="00000000" w:rsidP="002C2EAE">
            <w:pPr>
              <w:pStyle w:val="ListBullet"/>
              <w:rPr>
                <w:lang w:val="en-NZ"/>
              </w:rPr>
            </w:pPr>
            <w:r w:rsidRPr="002C2EAE">
              <w:t>Consider own role in terms of contribution to broader goals of the work environment, and adapt and renegotiate role and responsibilities when this has the potentia</w:t>
            </w:r>
            <w:r w:rsidRPr="002C2EAE">
              <w:t xml:space="preserve">l to increase effectiveness </w:t>
            </w:r>
          </w:p>
        </w:tc>
      </w:tr>
      <w:tr w:rsidTr="002C2E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EAE">
            <w:pPr>
              <w:pStyle w:val="BodyText"/>
              <w:rPr>
                <w:lang w:val="en-NZ"/>
              </w:rPr>
            </w:pPr>
            <w:r w:rsidRPr="002C2EAE">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EAE" w:rsidP="002C2EAE">
            <w:pPr>
              <w:pStyle w:val="ListBullet"/>
            </w:pPr>
            <w:r w:rsidRPr="002C2EAE">
              <w:t>Use appropriate language and communication skills to facilitate discussions</w:t>
            </w:r>
          </w:p>
          <w:p w:rsidR="00000000" w:rsidRPr="002C2EAE" w:rsidP="002C2EAE">
            <w:pPr>
              <w:pStyle w:val="ListBullet"/>
            </w:pPr>
            <w:r w:rsidRPr="002C2EAE">
              <w:t>Provide information about innovative practices, processes and products</w:t>
            </w:r>
          </w:p>
          <w:p w:rsidR="00000000" w:rsidP="002C2EAE">
            <w:pPr>
              <w:pStyle w:val="ListBullet"/>
              <w:rPr>
                <w:lang w:val="en-NZ"/>
              </w:rPr>
            </w:pPr>
            <w:r w:rsidRPr="002C2EAE">
              <w:t>Clarify the purpose and possible actions to be taken as a</w:t>
            </w:r>
            <w:r w:rsidRPr="002C2EAE">
              <w:t xml:space="preserve"> result of work-related communications</w:t>
            </w:r>
          </w:p>
        </w:tc>
      </w:tr>
      <w:tr w:rsidTr="002C2EA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EAE">
            <w:pPr>
              <w:pStyle w:val="BodyText"/>
              <w:rPr>
                <w:lang w:val="en-NZ"/>
              </w:rPr>
            </w:pPr>
            <w:r w:rsidRPr="002C2EAE">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EAE" w:rsidP="002C2EAE">
            <w:pPr>
              <w:pStyle w:val="ListBullet"/>
            </w:pPr>
            <w:r w:rsidRPr="002C2EAE">
              <w:t>Identify current innovative practice and organisational trends</w:t>
            </w:r>
          </w:p>
          <w:p w:rsidR="00000000" w:rsidRPr="002C2EAE" w:rsidP="002C2EAE">
            <w:pPr>
              <w:pStyle w:val="ListBullet"/>
            </w:pPr>
            <w:r w:rsidRPr="002C2EAE">
              <w:t>Use a computer, keyboard and software to collect and file research data</w:t>
            </w:r>
          </w:p>
          <w:p w:rsidR="00000000" w:rsidRPr="002C2EAE" w:rsidP="002C2EAE">
            <w:pPr>
              <w:pStyle w:val="ListBullet"/>
            </w:pPr>
            <w:r w:rsidRPr="002C2EAE">
              <w:t>Source, collect and organise a range of data about performance</w:t>
            </w:r>
            <w:r w:rsidRPr="002C2EAE">
              <w:t xml:space="preserve"> against targets</w:t>
            </w:r>
          </w:p>
          <w:p w:rsidR="00000000" w:rsidRPr="002C2EAE" w:rsidP="002C2EAE">
            <w:pPr>
              <w:pStyle w:val="ListBullet"/>
            </w:pPr>
            <w:r w:rsidRPr="002C2EAE">
              <w:t>Identify maintenance requirements and develop schedules</w:t>
            </w:r>
          </w:p>
        </w:tc>
      </w:tr>
    </w:tbl>
    <w:p w:rsidR="00000000" w:rsidRPr="002C2EAE" w:rsidP="002C2EAE">
      <w:pPr>
        <w:pStyle w:val="BodyText"/>
      </w:pPr>
    </w:p>
    <w:p w:rsidR="00000000" w:rsidRPr="002C2EAE" w:rsidP="002C2EAE">
      <w:pPr>
        <w:pStyle w:val="AllowPageBreak"/>
      </w:pPr>
    </w:p>
    <w:p w:rsidR="00000000" w:rsidRPr="002C2EAE" w:rsidP="002C2EAE">
      <w:pPr>
        <w:pStyle w:val="Heading1"/>
      </w:pPr>
      <w:bookmarkStart w:id="7" w:name="O_971073"/>
      <w:bookmarkEnd w:id="7"/>
      <w:r w:rsidRPr="002C2EAE">
        <w:t>Unit Mapping Information</w:t>
      </w:r>
    </w:p>
    <w:tbl>
      <w:tblPr>
        <w:tblW w:w="9520" w:type="dxa"/>
        <w:tblLayout w:type="fixed"/>
        <w:tblCellMar>
          <w:left w:w="62" w:type="dxa"/>
          <w:right w:w="62" w:type="dxa"/>
        </w:tblCellMar>
        <w:tblLook w:val="0000"/>
      </w:tblPr>
      <w:tblGrid>
        <w:gridCol w:w="1871"/>
        <w:gridCol w:w="2128"/>
        <w:gridCol w:w="2409"/>
        <w:gridCol w:w="3112"/>
      </w:tblGrid>
      <w:tr w:rsidTr="002C2EAE">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EAE" w:rsidP="002C2EAE">
            <w:pPr>
              <w:pStyle w:val="BodyText"/>
            </w:pPr>
            <w:r w:rsidRPr="002C2EAE">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EAE" w:rsidP="002C2EAE">
            <w:pPr>
              <w:pStyle w:val="BodyText"/>
            </w:pPr>
            <w:r w:rsidRPr="002C2EAE">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EAE" w:rsidP="002C2EAE">
            <w:pPr>
              <w:pStyle w:val="BodyText"/>
            </w:pPr>
            <w:r w:rsidRPr="002C2EAE">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EAE">
            <w:pPr>
              <w:pStyle w:val="BodyText"/>
              <w:rPr>
                <w:lang w:val="en-NZ"/>
              </w:rPr>
            </w:pPr>
            <w:r w:rsidRPr="002C2EAE">
              <w:rPr>
                <w:rStyle w:val="SpecialBold"/>
              </w:rPr>
              <w:t>Equivalence status</w:t>
            </w:r>
          </w:p>
        </w:tc>
      </w:tr>
      <w:tr w:rsidTr="002C2EA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EAE">
            <w:pPr>
              <w:pStyle w:val="BodyText"/>
              <w:rPr>
                <w:lang w:val="en-NZ"/>
              </w:rPr>
            </w:pPr>
            <w:r w:rsidRPr="002C2EAE">
              <w:t>FBPGRA4001 Control power and automation for milling processes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EAE">
            <w:pPr>
              <w:pStyle w:val="BodyText"/>
              <w:rPr>
                <w:lang w:val="en-NZ"/>
              </w:rPr>
            </w:pPr>
            <w:r w:rsidRPr="002C2EAE">
              <w:t>FDFGR4001A Control power and automation for milling processes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EAE">
            <w:pPr>
              <w:pStyle w:val="BodyText"/>
              <w:rPr>
                <w:lang w:val="en-NZ"/>
              </w:rPr>
            </w:pPr>
            <w:r w:rsidRPr="002C2EAE">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EAE" w:rsidP="002C2EAE">
            <w:pPr>
              <w:pStyle w:val="BodyText"/>
            </w:pPr>
            <w:r w:rsidRPr="002C2EAE">
              <w:t>Equivalent unit</w:t>
            </w:r>
          </w:p>
        </w:tc>
      </w:tr>
    </w:tbl>
    <w:p w:rsidR="00000000" w:rsidRPr="002C2EAE" w:rsidP="002C2EAE">
      <w:pPr>
        <w:pStyle w:val="BodyText"/>
      </w:pPr>
    </w:p>
    <w:p w:rsidR="00000000" w:rsidRPr="002C2EAE" w:rsidP="002C2EAE">
      <w:pPr>
        <w:pStyle w:val="AllowPageBreak"/>
      </w:pPr>
    </w:p>
    <w:p w:rsidR="00000000" w:rsidRPr="002C2EAE" w:rsidP="002C2EAE">
      <w:pPr>
        <w:pStyle w:val="Heading1"/>
      </w:pPr>
      <w:bookmarkStart w:id="8" w:name="O_971080"/>
      <w:bookmarkEnd w:id="8"/>
      <w:r w:rsidRPr="002C2EAE">
        <w:t>Links</w:t>
      </w:r>
    </w:p>
    <w:p w:rsidR="00000000" w:rsidRPr="002C2EAE" w:rsidP="00182495">
      <w:pPr>
        <w:pStyle w:val="BodyText"/>
      </w:pPr>
      <w:r w:rsidRPr="002C2EAE">
        <w:t>Companion Volumes, including Implementation</w:t>
      </w:r>
      <w:r w:rsidRPr="002C2EAE">
        <w:t xml:space="preserve"> Guides, are available at VETNet: - </w:t>
      </w:r>
      <w:r>
        <w:fldChar w:fldCharType="begin"/>
      </w:r>
      <w:r>
        <w:instrText xml:space="preserve"> HYPERLINK "https://vetnet.gov.au/Pages/TrainingDocs.aspx?q=78b15323-cd38-483e-aad7-1159b570a5c4" </w:instrText>
      </w:r>
      <w:r>
        <w:fldChar w:fldCharType="separate"/>
      </w:r>
      <w:r w:rsidRPr="00D47855">
        <w:rPr>
          <w:rStyle w:val="Hyperlink"/>
        </w:rPr>
        <w:t>https://vetnet.gov.au/Pages/TrainingDocs.aspx?q=78b15323-cd38-483e-aad7-1159b570a5c4</w:t>
      </w:r>
      <w:r>
        <w:fldChar w:fldCharType="end"/>
      </w:r>
    </w:p>
    <w:p w:rsidR="00000000" w:rsidRPr="002C2EAE" w:rsidP="00182495">
      <w:pPr>
        <w:pStyle w:val="BodyText"/>
        <w:sectPr w:rsidSect="002C2EAE">
          <w:headerReference w:type="default" r:id="rId10"/>
          <w:footerReference w:type="default" r:id="rId11"/>
          <w:pgSz w:w="11908" w:h="16833"/>
          <w:pgMar w:top="1702" w:right="1418" w:bottom="1702" w:left="1418" w:header="992" w:footer="992" w:gutter="0"/>
          <w:cols w:space="720"/>
          <w:noEndnote/>
          <w:docGrid w:linePitch="299"/>
        </w:sectPr>
      </w:pPr>
    </w:p>
    <w:p w:rsidR="00000000" w:rsidRPr="002C2EAE" w:rsidP="002C2EAE">
      <w:pPr>
        <w:pStyle w:val="SuperHeading"/>
      </w:pPr>
      <w:r w:rsidRPr="002C2EAE">
        <w:t xml:space="preserve">Assessment </w:t>
      </w:r>
      <w:r w:rsidRPr="002C2EAE">
        <w:t>Requirements for FBPGRA4001 Control power and automation for milling processes</w:t>
      </w:r>
    </w:p>
    <w:p w:rsidR="00000000" w:rsidRPr="002C2EAE" w:rsidP="002C2EAE">
      <w:pPr>
        <w:pStyle w:val="Heading1"/>
      </w:pPr>
      <w:bookmarkStart w:id="9" w:name="O_971075"/>
      <w:bookmarkEnd w:id="9"/>
      <w:r w:rsidRPr="002C2EAE">
        <w:t>Modification History</w:t>
      </w:r>
    </w:p>
    <w:tbl>
      <w:tblPr>
        <w:tblW w:w="9520" w:type="dxa"/>
        <w:tblLayout w:type="fixed"/>
        <w:tblCellMar>
          <w:left w:w="62" w:type="dxa"/>
          <w:right w:w="62" w:type="dxa"/>
        </w:tblCellMar>
        <w:tblLook w:val="0000"/>
      </w:tblPr>
      <w:tblGrid>
        <w:gridCol w:w="2581"/>
        <w:gridCol w:w="6939"/>
      </w:tblGrid>
      <w:tr w:rsidTr="002C2EA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EAE" w:rsidP="002C2EAE">
            <w:pPr>
              <w:pStyle w:val="BodyText"/>
            </w:pPr>
            <w:r w:rsidRPr="002C2EA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EAE">
            <w:pPr>
              <w:pStyle w:val="BodyText"/>
              <w:rPr>
                <w:lang w:val="en-NZ"/>
              </w:rPr>
            </w:pPr>
            <w:r w:rsidRPr="002C2EAE">
              <w:rPr>
                <w:rStyle w:val="SpecialBold"/>
              </w:rPr>
              <w:t>Comments</w:t>
            </w:r>
          </w:p>
        </w:tc>
      </w:tr>
      <w:tr w:rsidTr="002C2EA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2EAE">
            <w:pPr>
              <w:pStyle w:val="BodyText"/>
              <w:rPr>
                <w:lang w:val="en-NZ"/>
              </w:rPr>
            </w:pPr>
            <w:r w:rsidRPr="002C2EA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2EAE" w:rsidP="002C2EAE">
            <w:pPr>
              <w:pStyle w:val="BodyText"/>
            </w:pPr>
            <w:r w:rsidRPr="002C2EAE">
              <w:t>This version released with FBP Food, Beverage and Pharmaceutical Training Package version 1.0.</w:t>
            </w:r>
          </w:p>
        </w:tc>
      </w:tr>
    </w:tbl>
    <w:p w:rsidR="00000000" w:rsidRPr="002C2EAE" w:rsidP="002C2EAE">
      <w:pPr>
        <w:pStyle w:val="BodyText"/>
      </w:pPr>
    </w:p>
    <w:p w:rsidR="00000000" w:rsidRPr="002C2EAE" w:rsidP="002C2EAE">
      <w:pPr>
        <w:pStyle w:val="AllowPageBreak"/>
      </w:pPr>
    </w:p>
    <w:p w:rsidR="00000000" w:rsidRPr="002C2EAE" w:rsidP="002C2EAE">
      <w:pPr>
        <w:pStyle w:val="Heading1"/>
      </w:pPr>
      <w:bookmarkStart w:id="10" w:name="O_971076"/>
      <w:bookmarkEnd w:id="10"/>
      <w:r w:rsidRPr="002C2EAE">
        <w:t>Performance Evidence</w:t>
      </w:r>
    </w:p>
    <w:p w:rsidR="00000000" w:rsidRPr="002C2EAE" w:rsidP="00182495">
      <w:pPr>
        <w:pStyle w:val="BodyText"/>
      </w:pPr>
      <w:r w:rsidRPr="002C2EAE">
        <w:t>An individual demonstrating competency must satisfy all of the elements and performance criteria in this unit.</w:t>
      </w:r>
    </w:p>
    <w:p w:rsidR="00000000" w:rsidRPr="002C2EAE" w:rsidP="00182495">
      <w:pPr>
        <w:pStyle w:val="BodyText"/>
      </w:pPr>
      <w:r w:rsidRPr="002C2EAE">
        <w:t>There must be evidence that, on at least one occasion, the individual has:</w:t>
      </w:r>
    </w:p>
    <w:p w:rsidR="00000000" w:rsidRPr="002C2EAE" w:rsidP="002C2EAE">
      <w:pPr>
        <w:pStyle w:val="ListBullet"/>
      </w:pPr>
      <w:r w:rsidRPr="002C2EAE">
        <w:t>interpreted schematics and identified ra</w:t>
      </w:r>
      <w:r w:rsidRPr="002C2EAE">
        <w:t>nge of utilities used by mill</w:t>
      </w:r>
    </w:p>
    <w:p w:rsidR="00000000" w:rsidRPr="002C2EAE" w:rsidP="002C2EAE">
      <w:pPr>
        <w:pStyle w:val="ListBullet"/>
      </w:pPr>
      <w:r w:rsidRPr="002C2EAE">
        <w:t>determined importance of services to mill operations</w:t>
      </w:r>
    </w:p>
    <w:p w:rsidR="00000000" w:rsidRPr="002C2EAE" w:rsidP="002C2EAE">
      <w:pPr>
        <w:pStyle w:val="ListBullet"/>
      </w:pPr>
      <w:r w:rsidRPr="002C2EAE">
        <w:t>identified key features and requirements of installed electrical safety systems</w:t>
      </w:r>
    </w:p>
    <w:p w:rsidR="00000000" w:rsidRPr="002C2EAE" w:rsidP="002C2EAE">
      <w:pPr>
        <w:pStyle w:val="ListBullet"/>
      </w:pPr>
      <w:r w:rsidRPr="002C2EAE">
        <w:t>matched milling requirements to available services and equipment, including electricity, gas and other fuels, steam generation, hydraulics and pneumatics</w:t>
      </w:r>
    </w:p>
    <w:p w:rsidR="00000000" w:rsidRPr="002C2EAE" w:rsidP="002C2EAE">
      <w:pPr>
        <w:pStyle w:val="ListBullet"/>
      </w:pPr>
      <w:r w:rsidRPr="002C2EAE">
        <w:t>used computerised and other control equipment to achieve desired milling outcomes</w:t>
      </w:r>
    </w:p>
    <w:p w:rsidR="00000000" w:rsidRPr="002C2EAE" w:rsidP="002C2EAE">
      <w:pPr>
        <w:pStyle w:val="ListBullet"/>
      </w:pPr>
      <w:r w:rsidRPr="002C2EAE">
        <w:t>determined fuel sour</w:t>
      </w:r>
      <w:r w:rsidRPr="002C2EAE">
        <w:t>ces and power demand patterns for mill operations</w:t>
      </w:r>
    </w:p>
    <w:p w:rsidR="00000000" w:rsidRPr="002C2EAE" w:rsidP="002C2EAE">
      <w:pPr>
        <w:pStyle w:val="ListBullet"/>
      </w:pPr>
      <w:r w:rsidRPr="002C2EAE">
        <w:t>assessed fuel supply capacity</w:t>
      </w:r>
    </w:p>
    <w:p w:rsidR="00000000" w:rsidRPr="002C2EAE" w:rsidP="002C2EAE">
      <w:pPr>
        <w:pStyle w:val="ListBullet"/>
      </w:pPr>
      <w:r w:rsidRPr="002C2EAE">
        <w:t>determined control equipment and control options for mill</w:t>
      </w:r>
    </w:p>
    <w:p w:rsidR="00000000" w:rsidRPr="002C2EAE" w:rsidP="002C2EAE">
      <w:pPr>
        <w:pStyle w:val="ListBullet"/>
      </w:pPr>
      <w:r w:rsidRPr="002C2EAE">
        <w:t>established risk management and contingency strategies for mill power and automation</w:t>
      </w:r>
    </w:p>
    <w:p w:rsidR="00000000" w:rsidRPr="002C2EAE" w:rsidP="002C2EAE">
      <w:pPr>
        <w:pStyle w:val="ListBullet"/>
      </w:pPr>
      <w:r w:rsidRPr="002C2EAE">
        <w:t xml:space="preserve">integrated equipment maintenance </w:t>
      </w:r>
      <w:r w:rsidRPr="002C2EAE">
        <w:t>and lubrication strategies with production requirements</w:t>
      </w:r>
    </w:p>
    <w:p w:rsidR="00000000" w:rsidRPr="002C2EAE" w:rsidP="002C2EAE">
      <w:pPr>
        <w:pStyle w:val="ListBullet"/>
      </w:pPr>
      <w:r w:rsidRPr="002C2EAE">
        <w:t>interpreted manuals, other technical information, diagrams and drawings</w:t>
      </w:r>
    </w:p>
    <w:p w:rsidR="00000000" w:rsidRPr="002C2EAE" w:rsidP="002C2EAE">
      <w:pPr>
        <w:pStyle w:val="ListBullet"/>
      </w:pPr>
      <w:r w:rsidRPr="002C2EAE">
        <w:t>applied safe work practices and identified work health and safety hazards and controls.</w:t>
      </w:r>
    </w:p>
    <w:p w:rsidR="00000000" w:rsidRPr="002C2EAE" w:rsidP="002C2EAE">
      <w:pPr>
        <w:pStyle w:val="AllowPageBreak"/>
      </w:pPr>
    </w:p>
    <w:p w:rsidR="00000000" w:rsidRPr="002C2EAE" w:rsidP="002C2EAE">
      <w:pPr>
        <w:pStyle w:val="Heading1"/>
      </w:pPr>
      <w:bookmarkStart w:id="11" w:name="O_971077"/>
      <w:bookmarkEnd w:id="11"/>
      <w:r w:rsidRPr="002C2EAE">
        <w:t>Knowledge Evidence</w:t>
      </w:r>
    </w:p>
    <w:p w:rsidR="00000000" w:rsidRPr="002C2EAE" w:rsidP="00182495">
      <w:pPr>
        <w:pStyle w:val="BodyText"/>
      </w:pPr>
      <w:r w:rsidRPr="002C2EAE">
        <w:t>An i</w:t>
      </w:r>
      <w:r w:rsidRPr="002C2EAE">
        <w:t>ndividual must be able to demonstrate the knowledge required to perform the tasks outlined in the elements and performance criteria of this unit. This includes knowledge of:</w:t>
      </w:r>
    </w:p>
    <w:p w:rsidR="00000000" w:rsidRPr="002C2EAE" w:rsidP="002C2EAE">
      <w:pPr>
        <w:pStyle w:val="ListBullet"/>
      </w:pPr>
      <w:r w:rsidRPr="002C2EAE">
        <w:t>types of electric motors and their advantages and disadvantages</w:t>
      </w:r>
    </w:p>
    <w:p w:rsidR="00000000" w:rsidRPr="002C2EAE" w:rsidP="002C2EAE">
      <w:pPr>
        <w:pStyle w:val="ListBullet"/>
      </w:pPr>
      <w:r w:rsidRPr="002C2EAE">
        <w:t>function and oper</w:t>
      </w:r>
      <w:r w:rsidRPr="002C2EAE">
        <w:t>ational requirements of power system components, including:</w:t>
      </w:r>
    </w:p>
    <w:p w:rsidR="00000000" w:rsidRPr="002C2EAE" w:rsidP="002C2EAE">
      <w:pPr>
        <w:pStyle w:val="ListBullet2"/>
      </w:pPr>
      <w:r w:rsidRPr="002C2EAE">
        <w:t>mains supply terminal</w:t>
      </w:r>
    </w:p>
    <w:p w:rsidR="00000000" w:rsidRPr="002C2EAE" w:rsidP="002C2EAE">
      <w:pPr>
        <w:pStyle w:val="ListBullet2"/>
      </w:pPr>
      <w:r w:rsidRPr="002C2EAE">
        <w:t>mill transformers</w:t>
      </w:r>
    </w:p>
    <w:p w:rsidR="00000000" w:rsidRPr="002C2EAE" w:rsidP="002C2EAE">
      <w:pPr>
        <w:pStyle w:val="ListBullet2"/>
      </w:pPr>
      <w:r w:rsidRPr="002C2EAE">
        <w:t>back-up generation and supply system</w:t>
      </w:r>
    </w:p>
    <w:p w:rsidR="00000000" w:rsidRPr="002C2EAE" w:rsidP="002C2EAE">
      <w:pPr>
        <w:pStyle w:val="ListBullet2"/>
      </w:pPr>
      <w:r w:rsidRPr="002C2EAE">
        <w:t>electrical safety systems</w:t>
      </w:r>
    </w:p>
    <w:p w:rsidR="00000000" w:rsidRPr="002C2EAE" w:rsidP="002C2EAE">
      <w:pPr>
        <w:pStyle w:val="ListBullet2"/>
      </w:pPr>
      <w:r w:rsidRPr="002C2EAE">
        <w:t>motor control and motor protection strategies</w:t>
      </w:r>
    </w:p>
    <w:p w:rsidR="00000000" w:rsidRPr="002C2EAE" w:rsidP="002C2EAE">
      <w:pPr>
        <w:pStyle w:val="ListBullet2"/>
      </w:pPr>
      <w:r w:rsidRPr="002C2EAE">
        <w:t>demand and diversity factors</w:t>
      </w:r>
    </w:p>
    <w:p w:rsidR="00000000" w:rsidRPr="002C2EAE" w:rsidP="002C2EAE">
      <w:pPr>
        <w:pStyle w:val="ListBullet"/>
      </w:pPr>
      <w:r w:rsidRPr="002C2EAE">
        <w:t>fuel sources for mill uses, including:</w:t>
      </w:r>
    </w:p>
    <w:p w:rsidR="00000000" w:rsidRPr="002C2EAE" w:rsidP="002C2EAE">
      <w:pPr>
        <w:pStyle w:val="ListBullet2"/>
      </w:pPr>
      <w:r w:rsidRPr="002C2EAE">
        <w:t>on-site boilers</w:t>
      </w:r>
    </w:p>
    <w:p w:rsidR="00000000" w:rsidRPr="002C2EAE" w:rsidP="002C2EAE">
      <w:pPr>
        <w:pStyle w:val="ListBullet2"/>
      </w:pPr>
      <w:r w:rsidRPr="002C2EAE">
        <w:t>emergency generators</w:t>
      </w:r>
    </w:p>
    <w:p w:rsidR="00000000" w:rsidRPr="002C2EAE" w:rsidP="002C2EAE">
      <w:pPr>
        <w:pStyle w:val="ListBullet2"/>
      </w:pPr>
      <w:r w:rsidRPr="002C2EAE">
        <w:t>fuel powered equipment</w:t>
      </w:r>
    </w:p>
    <w:p w:rsidR="00000000" w:rsidRPr="002C2EAE" w:rsidP="002C2EAE">
      <w:pPr>
        <w:pStyle w:val="ListBullet"/>
      </w:pPr>
      <w:r w:rsidRPr="002C2EAE">
        <w:t>mechanical power transmission types and principles, including:</w:t>
      </w:r>
    </w:p>
    <w:p w:rsidR="00000000" w:rsidRPr="002C2EAE" w:rsidP="002C2EAE">
      <w:pPr>
        <w:pStyle w:val="ListBullet2"/>
      </w:pPr>
      <w:r w:rsidRPr="002C2EAE">
        <w:t>direct drives</w:t>
      </w:r>
    </w:p>
    <w:p w:rsidR="00000000" w:rsidRPr="002C2EAE" w:rsidP="002C2EAE">
      <w:pPr>
        <w:pStyle w:val="ListBullet2"/>
      </w:pPr>
      <w:r w:rsidRPr="002C2EAE">
        <w:t>belt drives</w:t>
      </w:r>
    </w:p>
    <w:p w:rsidR="00000000" w:rsidRPr="002C2EAE" w:rsidP="002C2EAE">
      <w:pPr>
        <w:pStyle w:val="ListBullet2"/>
      </w:pPr>
      <w:r w:rsidRPr="002C2EAE">
        <w:t>chain drives</w:t>
      </w:r>
    </w:p>
    <w:p w:rsidR="00000000" w:rsidRPr="002C2EAE" w:rsidP="002C2EAE">
      <w:pPr>
        <w:pStyle w:val="ListBullet2"/>
      </w:pPr>
      <w:r w:rsidRPr="002C2EAE">
        <w:t>gears</w:t>
      </w:r>
    </w:p>
    <w:p w:rsidR="00000000" w:rsidRPr="002C2EAE" w:rsidP="002C2EAE">
      <w:pPr>
        <w:pStyle w:val="ListBullet"/>
      </w:pPr>
      <w:r w:rsidRPr="002C2EAE">
        <w:t>factors influencing the velocity of particles in free air and in positive and negative air streams</w:t>
      </w:r>
    </w:p>
    <w:p w:rsidR="00000000" w:rsidRPr="002C2EAE" w:rsidP="002C2EAE">
      <w:pPr>
        <w:pStyle w:val="ListBullet"/>
      </w:pPr>
      <w:r w:rsidRPr="002C2EAE">
        <w:t>strategy for the prevention of dust explosions</w:t>
      </w:r>
    </w:p>
    <w:p w:rsidR="00000000" w:rsidRPr="002C2EAE" w:rsidP="002C2EAE">
      <w:pPr>
        <w:pStyle w:val="ListBullet"/>
      </w:pPr>
      <w:r w:rsidRPr="002C2EAE">
        <w:t>design principles used in exhaust systems for fans, ductwork and dust collectors</w:t>
      </w:r>
    </w:p>
    <w:p w:rsidR="00000000" w:rsidRPr="002C2EAE" w:rsidP="002C2EAE">
      <w:pPr>
        <w:pStyle w:val="ListBullet"/>
      </w:pPr>
      <w:r w:rsidRPr="002C2EAE">
        <w:t xml:space="preserve">advantages and disadvantages </w:t>
      </w:r>
      <w:r w:rsidRPr="002C2EAE">
        <w:t>of axial flow, propeller and centrifugal fans</w:t>
      </w:r>
    </w:p>
    <w:p w:rsidR="00000000" w:rsidRPr="002C2EAE" w:rsidP="002C2EAE">
      <w:pPr>
        <w:pStyle w:val="ListBullet"/>
      </w:pPr>
      <w:r w:rsidRPr="002C2EAE">
        <w:t>advantages and disadvantages of forward, backward and radial bladed rotors</w:t>
      </w:r>
    </w:p>
    <w:p w:rsidR="00000000" w:rsidRPr="002C2EAE" w:rsidP="002C2EAE">
      <w:pPr>
        <w:pStyle w:val="ListBullet"/>
      </w:pPr>
      <w:r w:rsidRPr="002C2EAE">
        <w:t>types of mill controls and back-up strategies</w:t>
      </w:r>
    </w:p>
    <w:p w:rsidR="00000000" w:rsidRPr="002C2EAE" w:rsidP="002C2EAE">
      <w:pPr>
        <w:pStyle w:val="ListBullet"/>
      </w:pPr>
      <w:r w:rsidRPr="002C2EAE">
        <w:t>purpose and function of instrumentation, including:</w:t>
      </w:r>
    </w:p>
    <w:p w:rsidR="00000000" w:rsidRPr="002C2EAE" w:rsidP="002C2EAE">
      <w:pPr>
        <w:pStyle w:val="ListBullet2"/>
      </w:pPr>
      <w:r w:rsidRPr="002C2EAE">
        <w:t>proximity switches</w:t>
      </w:r>
    </w:p>
    <w:p w:rsidR="00000000" w:rsidRPr="002C2EAE" w:rsidP="002C2EAE">
      <w:pPr>
        <w:pStyle w:val="ListBullet2"/>
      </w:pPr>
      <w:r w:rsidRPr="002C2EAE">
        <w:t>position sensors</w:t>
      </w:r>
    </w:p>
    <w:p w:rsidR="00000000" w:rsidRPr="002C2EAE" w:rsidP="002C2EAE">
      <w:pPr>
        <w:pStyle w:val="ListBullet2"/>
      </w:pPr>
      <w:r w:rsidRPr="002C2EAE">
        <w:t>transducers</w:t>
      </w:r>
    </w:p>
    <w:p w:rsidR="00000000" w:rsidRPr="002C2EAE" w:rsidP="002C2EAE">
      <w:pPr>
        <w:pStyle w:val="ListBullet2"/>
      </w:pPr>
      <w:r w:rsidRPr="002C2EAE">
        <w:t>tachometers</w:t>
      </w:r>
    </w:p>
    <w:p w:rsidR="00000000" w:rsidRPr="002C2EAE" w:rsidP="002C2EAE">
      <w:pPr>
        <w:pStyle w:val="ListBullet2"/>
      </w:pPr>
      <w:r w:rsidRPr="002C2EAE">
        <w:t>flow meters</w:t>
      </w:r>
    </w:p>
    <w:p w:rsidR="00000000" w:rsidRPr="002C2EAE" w:rsidP="002C2EAE">
      <w:pPr>
        <w:pStyle w:val="ListBullet2"/>
      </w:pPr>
      <w:r w:rsidRPr="002C2EAE">
        <w:t>weighers</w:t>
      </w:r>
    </w:p>
    <w:p w:rsidR="00000000" w:rsidRPr="002C2EAE" w:rsidP="002C2EAE">
      <w:pPr>
        <w:pStyle w:val="ListBullet2"/>
      </w:pPr>
      <w:r w:rsidRPr="002C2EAE">
        <w:t>load cells</w:t>
      </w:r>
    </w:p>
    <w:p w:rsidR="00000000" w:rsidRPr="002C2EAE" w:rsidP="002C2EAE">
      <w:pPr>
        <w:pStyle w:val="ListBullet2"/>
      </w:pPr>
      <w:r w:rsidRPr="002C2EAE">
        <w:t>bin level indicators</w:t>
      </w:r>
    </w:p>
    <w:p w:rsidR="00000000" w:rsidRPr="002C2EAE" w:rsidP="002C2EAE">
      <w:pPr>
        <w:pStyle w:val="ListBullet2"/>
      </w:pPr>
      <w:r w:rsidRPr="002C2EAE">
        <w:t>pressure switches</w:t>
      </w:r>
    </w:p>
    <w:p w:rsidR="00000000" w:rsidRPr="002C2EAE" w:rsidP="002C2EAE">
      <w:pPr>
        <w:pStyle w:val="ListBullet2"/>
      </w:pPr>
      <w:r w:rsidRPr="002C2EAE">
        <w:t>programmable logistic controllers (PLCs), system control and data acquisition (SCADA) systems, and other programmable instrumentation and systems</w:t>
      </w:r>
    </w:p>
    <w:p w:rsidR="00000000" w:rsidRPr="002C2EAE" w:rsidP="002C2EAE">
      <w:pPr>
        <w:pStyle w:val="ListBullet"/>
      </w:pPr>
      <w:r w:rsidRPr="002C2EAE">
        <w:t>mill equipment and its location and function</w:t>
      </w:r>
    </w:p>
    <w:p w:rsidR="00000000" w:rsidRPr="002C2EAE" w:rsidP="002C2EAE">
      <w:pPr>
        <w:pStyle w:val="ListBullet"/>
      </w:pPr>
      <w:r w:rsidRPr="002C2EAE">
        <w:t>maximum power demand for mill</w:t>
      </w:r>
    </w:p>
    <w:p w:rsidR="00000000" w:rsidRPr="002C2EAE" w:rsidP="002C2EAE">
      <w:pPr>
        <w:pStyle w:val="ListBullet"/>
      </w:pPr>
      <w:r w:rsidRPr="002C2EAE">
        <w:t>typical range of power demand for mill, taking into account scope of equipment and average production requirements.</w:t>
      </w:r>
    </w:p>
    <w:p w:rsidR="00000000" w:rsidRPr="002C2EAE" w:rsidP="002C2EAE">
      <w:pPr>
        <w:pStyle w:val="AllowPageBreak"/>
      </w:pPr>
    </w:p>
    <w:p w:rsidR="00000000" w:rsidRPr="002C2EAE" w:rsidP="002C2EAE">
      <w:pPr>
        <w:pStyle w:val="Heading1"/>
      </w:pPr>
      <w:bookmarkStart w:id="12" w:name="O_971078"/>
      <w:bookmarkEnd w:id="12"/>
      <w:r w:rsidRPr="002C2EAE">
        <w:t>Assessment Conditions</w:t>
      </w:r>
    </w:p>
    <w:p w:rsidR="00000000" w:rsidRPr="002C2EAE" w:rsidP="00182495">
      <w:pPr>
        <w:pStyle w:val="BodyText"/>
      </w:pPr>
      <w:r w:rsidRPr="002C2EAE">
        <w:t xml:space="preserve">Assessment of skills must </w:t>
      </w:r>
      <w:r w:rsidRPr="002C2EAE">
        <w:t>take place under the following conditions:</w:t>
      </w:r>
    </w:p>
    <w:p w:rsidR="00000000" w:rsidRPr="002C2EAE" w:rsidP="002C2EAE">
      <w:pPr>
        <w:pStyle w:val="ListBullet"/>
      </w:pPr>
      <w:r w:rsidRPr="002C2EAE">
        <w:t>physical conditions:</w:t>
      </w:r>
    </w:p>
    <w:p w:rsidR="00000000" w:rsidRPr="002C2EAE" w:rsidP="002C2EAE">
      <w:pPr>
        <w:pStyle w:val="ListBullet2"/>
      </w:pPr>
      <w:r w:rsidRPr="002C2EAE">
        <w:t>a workplace or an environment that accurately represents workplace conditions</w:t>
      </w:r>
    </w:p>
    <w:p w:rsidR="00000000" w:rsidRPr="002C2EAE" w:rsidP="002C2EAE">
      <w:pPr>
        <w:pStyle w:val="ListBullet"/>
      </w:pPr>
      <w:r w:rsidRPr="002C2EAE">
        <w:t>resources, equipment and materials:</w:t>
      </w:r>
    </w:p>
    <w:p w:rsidR="00000000" w:rsidRPr="002C2EAE" w:rsidP="002C2EAE">
      <w:pPr>
        <w:pStyle w:val="ListBullet2"/>
      </w:pPr>
      <w:r w:rsidRPr="002C2EAE">
        <w:t>personal protective equipment relevant to flour milling operations</w:t>
      </w:r>
    </w:p>
    <w:p w:rsidR="00000000" w:rsidRPr="002C2EAE" w:rsidP="002C2EAE">
      <w:pPr>
        <w:pStyle w:val="ListBullet2"/>
      </w:pPr>
      <w:r w:rsidRPr="002C2EAE">
        <w:t>sampling schedules and test procedures and equipment</w:t>
      </w:r>
    </w:p>
    <w:p w:rsidR="00000000" w:rsidRPr="002C2EAE" w:rsidP="002C2EAE">
      <w:pPr>
        <w:pStyle w:val="ListBullet"/>
      </w:pPr>
      <w:r w:rsidRPr="002C2EAE">
        <w:t>specifications:</w:t>
      </w:r>
    </w:p>
    <w:p w:rsidR="00000000" w:rsidRPr="002C2EAE" w:rsidP="002C2EAE">
      <w:pPr>
        <w:pStyle w:val="ListBullet2"/>
      </w:pPr>
      <w:r w:rsidRPr="002C2EAE">
        <w:t>work procedures, including advice on safe work practices, food safety, quality and environmental requirements</w:t>
      </w:r>
    </w:p>
    <w:p w:rsidR="00000000" w:rsidRPr="002C2EAE" w:rsidP="002C2EAE">
      <w:pPr>
        <w:pStyle w:val="ListBullet2"/>
      </w:pPr>
      <w:r w:rsidRPr="002C2EAE">
        <w:t>equipment manuals including operating parameters</w:t>
      </w:r>
    </w:p>
    <w:p w:rsidR="00000000" w:rsidRPr="002C2EAE" w:rsidP="002C2EAE">
      <w:pPr>
        <w:pStyle w:val="ListBullet2"/>
      </w:pPr>
      <w:r w:rsidRPr="002C2EAE">
        <w:t>specifications, control po</w:t>
      </w:r>
      <w:r w:rsidRPr="002C2EAE">
        <w:t>ints and processing parameters</w:t>
      </w:r>
    </w:p>
    <w:p w:rsidR="00000000" w:rsidRPr="002C2EAE" w:rsidP="002C2EAE">
      <w:pPr>
        <w:pStyle w:val="ListBullet2"/>
      </w:pPr>
      <w:r w:rsidRPr="002C2EAE">
        <w:t>documentation and recording requirements and procedures.</w:t>
      </w:r>
    </w:p>
    <w:p w:rsidR="00000000" w:rsidRPr="002C2EAE" w:rsidP="002C2EAE">
      <w:pPr>
        <w:pStyle w:val="BodyText"/>
      </w:pPr>
    </w:p>
    <w:p w:rsidR="00000000" w:rsidRPr="002C2EAE" w:rsidP="00182495">
      <w:pPr>
        <w:pStyle w:val="BodyText"/>
      </w:pPr>
      <w:r w:rsidRPr="002C2EAE">
        <w:t>Assessors of this unit must satisfy the requirements for assessors in applicable vocational education and training legislation, frameworks and/or standards.</w:t>
      </w:r>
    </w:p>
    <w:p w:rsidR="00000000" w:rsidRPr="002C2EAE" w:rsidP="002C2EAE">
      <w:pPr>
        <w:pStyle w:val="Heading1"/>
      </w:pPr>
      <w:bookmarkStart w:id="13" w:name="O_971081"/>
      <w:bookmarkEnd w:id="13"/>
      <w:r w:rsidRPr="002C2EAE">
        <w:t>Links</w:t>
      </w:r>
    </w:p>
    <w:p w:rsidR="00000000" w:rsidRPr="002C2EAE" w:rsidP="00182495">
      <w:pPr>
        <w:pStyle w:val="BodyText"/>
      </w:pPr>
      <w:r w:rsidRPr="002C2EAE">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D47855">
        <w:rPr>
          <w:rStyle w:val="Hyperlink"/>
        </w:rPr>
        <w:t>https://vetnet.gov.au/Pages/TrainingDocs.aspx?q=78b15323-cd38-483e-aad7-1159b570a5c4</w:t>
      </w:r>
      <w:r>
        <w:fldChar w:fldCharType="end"/>
      </w:r>
    </w:p>
    <w:p w:rsidR="00000000" w:rsidRPr="002C2EAE" w:rsidP="002C2EAE"/>
    <w:sectPr w:rsidSect="002C2E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AE" w:rsidRPr="00182495" w:rsidP="001824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495" w:rsidP="002C2E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82495" w:rsidP="002C2E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82495" w:rsidP="002C2E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AE" w:rsidP="002C2EAE">
    <w:pPr>
      <w:pStyle w:val="Footer"/>
      <w:framePr w:wrap="around"/>
    </w:pPr>
    <w:r>
      <w:fldChar w:fldCharType="begin"/>
    </w:r>
    <w:r>
      <w:instrText xml:space="preserve"> DOCPROPERTY  Subject  \* MERGEFORMAT </w:instrText>
    </w:r>
    <w:r>
      <w:fldChar w:fldCharType="separate"/>
    </w:r>
    <w:r w:rsidR="00182495">
      <w:t>Approved</w:t>
    </w:r>
    <w:r w:rsidR="00182495">
      <w:fldChar w:fldCharType="end"/>
    </w:r>
    <w:r>
      <w:tab/>
      <w:t xml:space="preserve">Page </w:t>
    </w:r>
    <w:r>
      <w:fldChar w:fldCharType="begin"/>
    </w:r>
    <w:r>
      <w:instrText xml:space="preserve"> PAGE  \* Arabic  \* MERGEFORMAT </w:instrText>
    </w:r>
    <w:r>
      <w:fldChar w:fldCharType="separate"/>
    </w:r>
    <w:r w:rsidR="0018249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2495">
      <w:rPr>
        <w:noProof/>
      </w:rPr>
      <w:t>6</w:t>
    </w:r>
    <w:r>
      <w:rPr>
        <w:noProof/>
      </w:rPr>
      <w:fldChar w:fldCharType="end"/>
    </w:r>
  </w:p>
  <w:p w:rsidR="002C2EAE" w:rsidP="002C2EAE">
    <w:pPr>
      <w:pStyle w:val="Footer"/>
      <w:framePr w:wrap="around"/>
    </w:pPr>
    <w:r>
      <w:t xml:space="preserve">© Commonwealth of Australia, </w:t>
    </w:r>
    <w:r>
      <w:fldChar w:fldCharType="begin"/>
    </w:r>
    <w:r>
      <w:instrText xml:space="preserve"> DATE  \@ "yyyy"  \* MERGEFORMAT </w:instrText>
    </w:r>
    <w:r>
      <w:fldChar w:fldCharType="separate"/>
    </w:r>
    <w:r w:rsidR="00182495">
      <w:rPr>
        <w:noProof/>
      </w:rPr>
      <w:t>2025</w:t>
    </w:r>
    <w:r>
      <w:fldChar w:fldCharType="end"/>
    </w:r>
    <w:r>
      <w:tab/>
    </w:r>
    <w:r>
      <w:fldChar w:fldCharType="begin"/>
    </w:r>
    <w:r>
      <w:instrText xml:space="preserve"> DOCPROPERTY  Author  \* MERGEFORMAT </w:instrText>
    </w:r>
    <w:r>
      <w:fldChar w:fldCharType="separate"/>
    </w:r>
    <w:r w:rsidR="00182495">
      <w:t>Manufacturing Industry Skills Alliance</w:t>
    </w:r>
    <w:r w:rsidR="00182495">
      <w:fldChar w:fldCharType="end"/>
    </w:r>
  </w:p>
  <w:p w:rsidR="002C2EAE" w:rsidP="002C2E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4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2EAE" w:rsidRPr="00182495" w:rsidP="001824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495" w:rsidRPr="002D2AF8" w:rsidP="002C2EAE">
    <w:pPr>
      <w:pStyle w:val="Header"/>
      <w:framePr w:wrap="around"/>
    </w:pPr>
    <w:r>
      <w:fldChar w:fldCharType="begin"/>
    </w:r>
    <w:r>
      <w:instrText xml:space="preserve"> TITLE   \* MERGEFORMAT </w:instrText>
    </w:r>
    <w:r>
      <w:fldChar w:fldCharType="separate"/>
    </w:r>
    <w:r>
      <w:t>FBPGRA4001 Control power and automation for milling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82495" w:rsidP="002C2E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EAE" w:rsidRPr="002D2AF8" w:rsidP="002C2EAE">
    <w:pPr>
      <w:pStyle w:val="Header"/>
      <w:framePr w:wrap="around"/>
    </w:pPr>
    <w:r>
      <w:fldChar w:fldCharType="begin"/>
    </w:r>
    <w:r>
      <w:instrText xml:space="preserve"> TITLE   \* MERGEFORMAT </w:instrText>
    </w:r>
    <w:r>
      <w:fldChar w:fldCharType="separate"/>
    </w:r>
    <w:r w:rsidR="00182495">
      <w:t>FBPGRA4001 Control power and automation for milling processes</w:t>
    </w:r>
    <w:r w:rsidR="00182495">
      <w:fldChar w:fldCharType="end"/>
    </w:r>
    <w:r>
      <w:tab/>
      <w:t xml:space="preserve">Date this document was generated: </w:t>
    </w:r>
    <w:r>
      <w:fldChar w:fldCharType="begin"/>
    </w:r>
    <w:r>
      <w:instrText xml:space="preserve"> CREATEDATE  \@ "d MMMM yyyy"  \* MERGEFORMAT </w:instrText>
    </w:r>
    <w:r>
      <w:fldChar w:fldCharType="separate"/>
    </w:r>
    <w:r w:rsidR="00182495">
      <w:rPr>
        <w:noProof/>
      </w:rPr>
      <w:t>1 March 2025</w:t>
    </w:r>
    <w:r>
      <w:fldChar w:fldCharType="end"/>
    </w:r>
  </w:p>
  <w:p w:rsidR="002C2EAE" w:rsidP="002C2E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B068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0E13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A6C1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E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2EAE"/>
    <w:pPr>
      <w:spacing w:before="360" w:after="60"/>
      <w:outlineLvl w:val="0"/>
    </w:pPr>
    <w:rPr>
      <w:sz w:val="32"/>
    </w:rPr>
  </w:style>
  <w:style w:type="paragraph" w:styleId="Heading2">
    <w:name w:val="heading 2"/>
    <w:basedOn w:val="HeadingBase"/>
    <w:next w:val="BodyText"/>
    <w:link w:val="Heading2Char"/>
    <w:qFormat/>
    <w:rsid w:val="002C2EAE"/>
    <w:pPr>
      <w:keepLines/>
      <w:spacing w:before="240" w:after="120"/>
      <w:outlineLvl w:val="1"/>
    </w:pPr>
    <w:rPr>
      <w:sz w:val="28"/>
      <w:szCs w:val="40"/>
    </w:rPr>
  </w:style>
  <w:style w:type="paragraph" w:styleId="Heading3">
    <w:name w:val="heading 3"/>
    <w:basedOn w:val="HeadingBase"/>
    <w:next w:val="BodyText"/>
    <w:link w:val="Heading3Char"/>
    <w:qFormat/>
    <w:rsid w:val="002C2EAE"/>
    <w:pPr>
      <w:spacing w:before="180" w:after="120"/>
      <w:outlineLvl w:val="2"/>
    </w:pPr>
    <w:rPr>
      <w:spacing w:val="-10"/>
      <w:kern w:val="32"/>
    </w:rPr>
  </w:style>
  <w:style w:type="paragraph" w:styleId="Heading4">
    <w:name w:val="heading 4"/>
    <w:basedOn w:val="HeadingBase"/>
    <w:next w:val="BodyText"/>
    <w:link w:val="Heading4Char"/>
    <w:qFormat/>
    <w:rsid w:val="002C2EAE"/>
    <w:pPr>
      <w:spacing w:before="160" w:after="120"/>
      <w:outlineLvl w:val="3"/>
    </w:pPr>
    <w:rPr>
      <w:sz w:val="22"/>
    </w:rPr>
  </w:style>
  <w:style w:type="paragraph" w:styleId="Heading5">
    <w:name w:val="heading 5"/>
    <w:basedOn w:val="HeadingBase"/>
    <w:next w:val="Normal"/>
    <w:link w:val="Heading5Char"/>
    <w:qFormat/>
    <w:rsid w:val="002C2EAE"/>
    <w:pPr>
      <w:spacing w:before="80"/>
      <w:outlineLvl w:val="4"/>
    </w:pPr>
    <w:rPr>
      <w:color w:val="918585"/>
      <w:sz w:val="20"/>
    </w:rPr>
  </w:style>
  <w:style w:type="paragraph" w:styleId="Heading6">
    <w:name w:val="heading 6"/>
    <w:basedOn w:val="HeadingBase"/>
    <w:next w:val="Normal"/>
    <w:link w:val="Heading6Char"/>
    <w:qFormat/>
    <w:rsid w:val="002C2EAE"/>
    <w:pPr>
      <w:spacing w:before="60"/>
      <w:outlineLvl w:val="5"/>
    </w:pPr>
    <w:rPr>
      <w:color w:val="918585"/>
      <w:sz w:val="20"/>
    </w:rPr>
  </w:style>
  <w:style w:type="paragraph" w:styleId="Heading7">
    <w:name w:val="heading 7"/>
    <w:basedOn w:val="Normal"/>
    <w:next w:val="Normal"/>
    <w:link w:val="Heading7Char"/>
    <w:qFormat/>
    <w:rsid w:val="002C2EAE"/>
    <w:pPr>
      <w:ind w:left="720"/>
      <w:outlineLvl w:val="6"/>
    </w:pPr>
    <w:rPr>
      <w:i/>
    </w:rPr>
  </w:style>
  <w:style w:type="paragraph" w:styleId="Heading8">
    <w:name w:val="heading 8"/>
    <w:basedOn w:val="Normal"/>
    <w:next w:val="Normal"/>
    <w:link w:val="Heading8Char"/>
    <w:qFormat/>
    <w:rsid w:val="002C2EAE"/>
    <w:pPr>
      <w:ind w:left="720"/>
      <w:outlineLvl w:val="7"/>
    </w:pPr>
    <w:rPr>
      <w:i/>
    </w:rPr>
  </w:style>
  <w:style w:type="paragraph" w:styleId="Heading9">
    <w:name w:val="heading 9"/>
    <w:basedOn w:val="Normal"/>
    <w:next w:val="Normal"/>
    <w:link w:val="Heading9Char"/>
    <w:qFormat/>
    <w:rsid w:val="002C2EAE"/>
    <w:pPr>
      <w:ind w:left="720"/>
      <w:outlineLvl w:val="8"/>
    </w:pPr>
    <w:rPr>
      <w:i/>
    </w:rPr>
  </w:style>
  <w:style w:type="character" w:default="1" w:styleId="DefaultParagraphFont">
    <w:name w:val="Default Paragraph Font"/>
    <w:uiPriority w:val="1"/>
    <w:unhideWhenUsed/>
    <w:rsid w:val="002C2E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EAE"/>
  </w:style>
  <w:style w:type="character" w:customStyle="1" w:styleId="Heading1Char">
    <w:name w:val="Heading 1 Char"/>
    <w:basedOn w:val="DefaultParagraphFont"/>
    <w:link w:val="Heading1"/>
    <w:rsid w:val="002C2EAE"/>
    <w:rPr>
      <w:rFonts w:ascii="Times New Roman" w:eastAsia="Times New Roman" w:hAnsi="Times New Roman" w:cs="Times New Roman"/>
      <w:b/>
      <w:sz w:val="32"/>
      <w:szCs w:val="20"/>
      <w:lang w:eastAsia="en-US"/>
    </w:rPr>
  </w:style>
  <w:style w:type="paragraph" w:styleId="BodyText">
    <w:name w:val="Body Text"/>
    <w:basedOn w:val="Normal"/>
    <w:link w:val="BodyTextChar"/>
    <w:rsid w:val="002C2E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2EAE"/>
    <w:rPr>
      <w:rFonts w:ascii="Times New Roman" w:eastAsia="Times New Roman" w:hAnsi="Times New Roman" w:cs="Times New Roman"/>
      <w:sz w:val="24"/>
      <w:lang w:eastAsia="en-US"/>
    </w:rPr>
  </w:style>
  <w:style w:type="paragraph" w:styleId="ListBullet">
    <w:name w:val="List Bullet"/>
    <w:basedOn w:val="List"/>
    <w:rsid w:val="002C2EAE"/>
    <w:pPr>
      <w:numPr>
        <w:numId w:val="12"/>
      </w:numPr>
      <w:tabs>
        <w:tab w:val="clear" w:pos="340"/>
      </w:tabs>
      <w:spacing w:before="40" w:after="40"/>
    </w:pPr>
  </w:style>
  <w:style w:type="character" w:customStyle="1" w:styleId="SpecialBold">
    <w:name w:val="Special Bold"/>
    <w:basedOn w:val="DefaultParagraphFont"/>
    <w:rsid w:val="002C2EAE"/>
    <w:rPr>
      <w:b/>
      <w:spacing w:val="0"/>
    </w:rPr>
  </w:style>
  <w:style w:type="paragraph" w:styleId="ListBullet2">
    <w:name w:val="List Bullet 2"/>
    <w:basedOn w:val="List2"/>
    <w:rsid w:val="002C2EAE"/>
    <w:pPr>
      <w:numPr>
        <w:numId w:val="13"/>
      </w:numPr>
      <w:tabs>
        <w:tab w:val="clear" w:pos="680"/>
      </w:tabs>
    </w:pPr>
  </w:style>
  <w:style w:type="character" w:styleId="Emphasis">
    <w:name w:val="Emphasis"/>
    <w:basedOn w:val="DefaultParagraphFont"/>
    <w:qFormat/>
    <w:rsid w:val="002C2EAE"/>
    <w:rPr>
      <w:i/>
    </w:rPr>
  </w:style>
  <w:style w:type="paragraph" w:customStyle="1" w:styleId="SuperHeading">
    <w:name w:val="SuperHeading"/>
    <w:basedOn w:val="Normal"/>
    <w:rsid w:val="002C2EAE"/>
    <w:pPr>
      <w:spacing w:before="240" w:after="120"/>
      <w:outlineLvl w:val="0"/>
    </w:pPr>
    <w:rPr>
      <w:rFonts w:ascii="Times New Roman" w:hAnsi="Times New Roman"/>
      <w:b/>
      <w:sz w:val="32"/>
    </w:rPr>
  </w:style>
  <w:style w:type="paragraph" w:customStyle="1" w:styleId="AllowPageBreak">
    <w:name w:val="AllowPageBreak"/>
    <w:rsid w:val="002C2E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2E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E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E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E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E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E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2E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2EAE"/>
    <w:rPr>
      <w:rFonts w:ascii="Courier New" w:eastAsia="Times New Roman" w:hAnsi="Courier New" w:cs="Times New Roman"/>
      <w:i/>
      <w:szCs w:val="20"/>
      <w:lang w:eastAsia="en-US"/>
    </w:rPr>
  </w:style>
  <w:style w:type="paragraph" w:customStyle="1" w:styleId="HeadingBase">
    <w:name w:val="Heading Base"/>
    <w:rsid w:val="002C2E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EAE"/>
    <w:pPr>
      <w:tabs>
        <w:tab w:val="right" w:leader="dot" w:pos="9072"/>
      </w:tabs>
      <w:ind w:left="567"/>
    </w:pPr>
    <w:rPr>
      <w:szCs w:val="22"/>
    </w:rPr>
  </w:style>
  <w:style w:type="paragraph" w:customStyle="1" w:styleId="TOCBase">
    <w:name w:val="TOC Base"/>
    <w:rsid w:val="002C2E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EAE"/>
    <w:pPr>
      <w:tabs>
        <w:tab w:val="right" w:leader="dot" w:pos="9072"/>
      </w:tabs>
      <w:spacing w:before="40" w:after="40"/>
      <w:ind w:left="284"/>
    </w:pPr>
    <w:rPr>
      <w:rFonts w:ascii="Times New Roman" w:hAnsi="Times New Roman"/>
    </w:rPr>
  </w:style>
  <w:style w:type="paragraph" w:styleId="TOC1">
    <w:name w:val="toc 1"/>
    <w:basedOn w:val="TOCBase"/>
    <w:next w:val="Normal"/>
    <w:rsid w:val="002C2E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2E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EAE"/>
    <w:rPr>
      <w:rFonts w:ascii="Times New Roman" w:eastAsia="Times New Roman" w:hAnsi="Times New Roman" w:cs="Times New Roman"/>
      <w:sz w:val="16"/>
      <w:lang w:eastAsia="en-US"/>
    </w:rPr>
  </w:style>
  <w:style w:type="paragraph" w:styleId="Title">
    <w:name w:val="Title"/>
    <w:basedOn w:val="HeadingBase"/>
    <w:link w:val="TitleChar"/>
    <w:qFormat/>
    <w:rsid w:val="002C2EAE"/>
    <w:pPr>
      <w:spacing w:before="5040"/>
      <w:jc w:val="center"/>
    </w:pPr>
    <w:rPr>
      <w:sz w:val="48"/>
      <w:szCs w:val="72"/>
      <w:lang w:val="en-US"/>
    </w:rPr>
  </w:style>
  <w:style w:type="character" w:customStyle="1" w:styleId="TitleChar">
    <w:name w:val="Title Char"/>
    <w:basedOn w:val="DefaultParagraphFont"/>
    <w:link w:val="Title"/>
    <w:rsid w:val="002C2E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EAE"/>
    <w:pPr>
      <w:tabs>
        <w:tab w:val="left" w:pos="3600"/>
        <w:tab w:val="left" w:pos="3958"/>
      </w:tabs>
    </w:pPr>
  </w:style>
  <w:style w:type="paragraph" w:styleId="List">
    <w:name w:val="List"/>
    <w:basedOn w:val="BodyText"/>
    <w:next w:val="BodyText"/>
    <w:rsid w:val="002C2EAE"/>
    <w:pPr>
      <w:tabs>
        <w:tab w:val="left" w:pos="340"/>
      </w:tabs>
      <w:spacing w:before="60" w:after="60"/>
      <w:ind w:left="340" w:hanging="340"/>
    </w:pPr>
  </w:style>
  <w:style w:type="paragraph" w:customStyle="1" w:styleId="Note">
    <w:name w:val="Note"/>
    <w:basedOn w:val="BodyText"/>
    <w:rsid w:val="002C2E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EAE"/>
    <w:pPr>
      <w:framePr w:wrap="auto" w:hAnchor="text" w:y="6049"/>
    </w:pPr>
    <w:rPr>
      <w:color w:val="000000"/>
      <w:sz w:val="40"/>
    </w:rPr>
  </w:style>
  <w:style w:type="paragraph" w:customStyle="1" w:styleId="TOCTitle">
    <w:name w:val="TOCTitle"/>
    <w:basedOn w:val="Heading1"/>
    <w:rsid w:val="002C2EAE"/>
    <w:pPr>
      <w:spacing w:after="240"/>
      <w:jc w:val="center"/>
      <w:outlineLvl w:val="9"/>
    </w:pPr>
    <w:rPr>
      <w:caps/>
    </w:rPr>
  </w:style>
  <w:style w:type="paragraph" w:customStyle="1" w:styleId="Version">
    <w:name w:val="Version"/>
    <w:rsid w:val="002C2E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EAE"/>
    <w:pPr>
      <w:keepNext w:val="0"/>
      <w:tabs>
        <w:tab w:val="right" w:pos="4176"/>
      </w:tabs>
      <w:ind w:left="198" w:hanging="198"/>
    </w:pPr>
    <w:rPr>
      <w:rFonts w:ascii="Garamond" w:hAnsi="Garamond"/>
    </w:rPr>
  </w:style>
  <w:style w:type="paragraph" w:styleId="IndexHeading">
    <w:name w:val="index heading"/>
    <w:basedOn w:val="Normal"/>
    <w:next w:val="Index1"/>
    <w:semiHidden/>
    <w:rsid w:val="002C2EAE"/>
    <w:pPr>
      <w:spacing w:before="120" w:after="120"/>
    </w:pPr>
    <w:rPr>
      <w:rFonts w:ascii="Arial" w:hAnsi="Arial"/>
      <w:b/>
      <w:color w:val="918585"/>
      <w:sz w:val="24"/>
    </w:rPr>
  </w:style>
  <w:style w:type="paragraph" w:styleId="Header">
    <w:name w:val="header"/>
    <w:basedOn w:val="Normal"/>
    <w:link w:val="HeaderChar"/>
    <w:rsid w:val="002C2E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EAE"/>
    <w:rPr>
      <w:rFonts w:ascii="Times New Roman" w:eastAsia="Times New Roman" w:hAnsi="Times New Roman" w:cs="Times New Roman"/>
      <w:sz w:val="16"/>
      <w:szCs w:val="20"/>
      <w:lang w:val="en-GB" w:eastAsia="en-US"/>
    </w:rPr>
  </w:style>
  <w:style w:type="paragraph" w:customStyle="1" w:styleId="Chapter">
    <w:name w:val="Chapter"/>
    <w:basedOn w:val="Normal"/>
    <w:rsid w:val="002C2EAE"/>
    <w:pPr>
      <w:spacing w:before="240"/>
    </w:pPr>
    <w:rPr>
      <w:rFonts w:ascii="Times New Roman" w:hAnsi="Times New Roman"/>
      <w:smallCaps/>
      <w:spacing w:val="80"/>
      <w:sz w:val="28"/>
    </w:rPr>
  </w:style>
  <w:style w:type="paragraph" w:customStyle="1" w:styleId="InChapter">
    <w:name w:val="InChapter"/>
    <w:basedOn w:val="Heading3"/>
    <w:rsid w:val="002C2EAE"/>
    <w:pPr>
      <w:spacing w:after="240"/>
      <w:outlineLvl w:val="9"/>
    </w:pPr>
    <w:rPr>
      <w:noProof/>
    </w:rPr>
  </w:style>
  <w:style w:type="paragraph" w:styleId="Index2">
    <w:name w:val="index 2"/>
    <w:basedOn w:val="Normal"/>
    <w:next w:val="Normal"/>
    <w:semiHidden/>
    <w:rsid w:val="002C2EAE"/>
    <w:pPr>
      <w:tabs>
        <w:tab w:val="right" w:pos="4176"/>
      </w:tabs>
      <w:ind w:left="568" w:hanging="284"/>
    </w:pPr>
    <w:rPr>
      <w:rFonts w:ascii="Garamond" w:hAnsi="Garamond"/>
    </w:rPr>
  </w:style>
  <w:style w:type="paragraph" w:customStyle="1" w:styleId="Byline">
    <w:name w:val="Byline"/>
    <w:rsid w:val="002C2E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EAE"/>
    <w:pPr>
      <w:tabs>
        <w:tab w:val="clear" w:pos="3600"/>
        <w:tab w:val="clear" w:pos="3958"/>
      </w:tabs>
      <w:jc w:val="right"/>
    </w:pPr>
  </w:style>
  <w:style w:type="paragraph" w:styleId="Caption">
    <w:name w:val="caption"/>
    <w:basedOn w:val="BodyText"/>
    <w:next w:val="Normal"/>
    <w:qFormat/>
    <w:rsid w:val="002C2EAE"/>
    <w:pPr>
      <w:framePr w:w="2268" w:hSpace="181" w:vSpace="181" w:wrap="around" w:vAnchor="text" w:hAnchor="page" w:x="1135" w:y="285" w:anchorLock="1"/>
    </w:pPr>
    <w:rPr>
      <w:i/>
    </w:rPr>
  </w:style>
  <w:style w:type="paragraph" w:customStyle="1" w:styleId="MiniTOCTitle">
    <w:name w:val="MiniTOCTitle"/>
    <w:basedOn w:val="Heading4"/>
    <w:rsid w:val="002C2EAE"/>
    <w:pPr>
      <w:spacing w:before="240"/>
      <w:outlineLvl w:val="9"/>
    </w:pPr>
    <w:rPr>
      <w:noProof/>
      <w:sz w:val="24"/>
    </w:rPr>
  </w:style>
  <w:style w:type="paragraph" w:customStyle="1" w:styleId="MiniTOCItem">
    <w:name w:val="MiniTOCItem"/>
    <w:basedOn w:val="ListBullet"/>
    <w:rsid w:val="002C2EAE"/>
    <w:pPr>
      <w:numPr>
        <w:numId w:val="0"/>
      </w:numPr>
      <w:tabs>
        <w:tab w:val="right" w:leader="dot" w:pos="6521"/>
      </w:tabs>
      <w:spacing w:before="0" w:after="0"/>
    </w:pPr>
  </w:style>
  <w:style w:type="paragraph" w:customStyle="1" w:styleId="TOFTitle">
    <w:name w:val="TOFTitle"/>
    <w:basedOn w:val="TOCTitle"/>
    <w:rsid w:val="002C2EAE"/>
  </w:style>
  <w:style w:type="paragraph" w:styleId="TableofFigures">
    <w:name w:val="table of figures"/>
    <w:basedOn w:val="Normal"/>
    <w:next w:val="Normal"/>
    <w:semiHidden/>
    <w:rsid w:val="002C2EAE"/>
    <w:pPr>
      <w:tabs>
        <w:tab w:val="right" w:leader="dot" w:pos="9072"/>
      </w:tabs>
      <w:ind w:left="970" w:hanging="403"/>
    </w:pPr>
    <w:rPr>
      <w:rFonts w:ascii="Times New Roman" w:hAnsi="Times New Roman"/>
      <w:b/>
    </w:rPr>
  </w:style>
  <w:style w:type="paragraph" w:styleId="ListNumber">
    <w:name w:val="List Number"/>
    <w:basedOn w:val="List"/>
    <w:rsid w:val="002C2EAE"/>
    <w:pPr>
      <w:numPr>
        <w:numId w:val="15"/>
      </w:numPr>
      <w:tabs>
        <w:tab w:val="clear" w:pos="340"/>
      </w:tabs>
    </w:pPr>
  </w:style>
  <w:style w:type="character" w:customStyle="1" w:styleId="WingdingSymbols">
    <w:name w:val="Wingding Symbols"/>
    <w:rsid w:val="002C2EAE"/>
    <w:rPr>
      <w:rFonts w:ascii="Wingdings" w:hAnsi="Wingdings"/>
    </w:rPr>
  </w:style>
  <w:style w:type="paragraph" w:customStyle="1" w:styleId="TableHeading">
    <w:name w:val="Table Heading"/>
    <w:basedOn w:val="HeadingBase"/>
    <w:rsid w:val="002C2EAE"/>
    <w:pPr>
      <w:keepLines/>
      <w:pBdr>
        <w:bottom w:val="single" w:sz="6" w:space="1" w:color="918585"/>
      </w:pBdr>
      <w:spacing w:before="240"/>
    </w:pPr>
  </w:style>
  <w:style w:type="character" w:customStyle="1" w:styleId="HotSpot">
    <w:name w:val="HotSpot"/>
    <w:rsid w:val="002C2EAE"/>
    <w:rPr>
      <w:color w:val="0033CC"/>
      <w:u w:val="none"/>
    </w:rPr>
  </w:style>
  <w:style w:type="paragraph" w:customStyle="1" w:styleId="BodyTextRight">
    <w:name w:val="Body Text Right"/>
    <w:basedOn w:val="BodyText"/>
    <w:rsid w:val="002C2EAE"/>
    <w:pPr>
      <w:spacing w:before="0" w:after="0"/>
      <w:jc w:val="right"/>
    </w:pPr>
  </w:style>
  <w:style w:type="paragraph" w:styleId="Index3">
    <w:name w:val="index 3"/>
    <w:basedOn w:val="ListNumber2"/>
    <w:next w:val="Normal"/>
    <w:semiHidden/>
    <w:rsid w:val="002C2EAE"/>
    <w:pPr>
      <w:numPr>
        <w:numId w:val="0"/>
      </w:numPr>
      <w:tabs>
        <w:tab w:val="right" w:leader="dot" w:pos="4176"/>
      </w:tabs>
    </w:pPr>
  </w:style>
  <w:style w:type="paragraph" w:styleId="ListNumber2">
    <w:name w:val="List Number 2"/>
    <w:basedOn w:val="List2"/>
    <w:rsid w:val="002C2EAE"/>
    <w:pPr>
      <w:numPr>
        <w:numId w:val="10"/>
      </w:numPr>
      <w:tabs>
        <w:tab w:val="clear" w:pos="1060"/>
      </w:tabs>
    </w:pPr>
  </w:style>
  <w:style w:type="paragraph" w:customStyle="1" w:styleId="MarginNote">
    <w:name w:val="Margin Note"/>
    <w:basedOn w:val="BodyText"/>
    <w:rsid w:val="002C2E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E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E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2EAE"/>
    <w:rPr>
      <w:sz w:val="32"/>
    </w:rPr>
  </w:style>
  <w:style w:type="paragraph" w:customStyle="1" w:styleId="HeadingProcedure">
    <w:name w:val="Heading Procedure"/>
    <w:basedOn w:val="HeadingBase"/>
    <w:next w:val="Normal"/>
    <w:rsid w:val="002C2EAE"/>
    <w:pPr>
      <w:tabs>
        <w:tab w:val="left" w:pos="0"/>
      </w:tabs>
      <w:spacing w:before="120" w:after="60"/>
    </w:pPr>
    <w:rPr>
      <w:i/>
      <w:color w:val="918585"/>
      <w:sz w:val="22"/>
    </w:rPr>
  </w:style>
  <w:style w:type="paragraph" w:customStyle="1" w:styleId="TableBodyText">
    <w:name w:val="Table Body Text"/>
    <w:basedOn w:val="BodyText"/>
    <w:rsid w:val="002C2EAE"/>
    <w:pPr>
      <w:spacing w:before="60" w:after="60"/>
    </w:pPr>
  </w:style>
  <w:style w:type="paragraph" w:styleId="ListContinue">
    <w:name w:val="List Continue"/>
    <w:basedOn w:val="List"/>
    <w:rsid w:val="002C2EAE"/>
    <w:pPr>
      <w:ind w:firstLine="0"/>
    </w:pPr>
  </w:style>
  <w:style w:type="paragraph" w:customStyle="1" w:styleId="ListNote">
    <w:name w:val="List Note"/>
    <w:basedOn w:val="List"/>
    <w:rsid w:val="002C2EAE"/>
    <w:pPr>
      <w:pBdr>
        <w:top w:val="single" w:sz="6" w:space="2" w:color="918585"/>
        <w:bottom w:val="single" w:sz="6" w:space="2" w:color="918585"/>
      </w:pBdr>
      <w:tabs>
        <w:tab w:val="left" w:pos="1021"/>
      </w:tabs>
      <w:ind w:firstLine="0"/>
    </w:pPr>
  </w:style>
  <w:style w:type="paragraph" w:customStyle="1" w:styleId="Warning">
    <w:name w:val="Warning"/>
    <w:basedOn w:val="BodyText"/>
    <w:rsid w:val="002C2EAE"/>
    <w:pPr>
      <w:shd w:val="clear" w:color="auto" w:fill="D9D9D9"/>
      <w:tabs>
        <w:tab w:val="left" w:pos="992"/>
      </w:tabs>
      <w:ind w:left="119" w:right="119"/>
    </w:pPr>
    <w:rPr>
      <w:sz w:val="20"/>
    </w:rPr>
  </w:style>
  <w:style w:type="paragraph" w:customStyle="1" w:styleId="MarginIcons">
    <w:name w:val="Margin Icons"/>
    <w:basedOn w:val="BodyText"/>
    <w:rsid w:val="002C2E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EAE"/>
    <w:rPr>
      <w:rFonts w:ascii="Courier New" w:hAnsi="Courier New"/>
    </w:rPr>
  </w:style>
  <w:style w:type="paragraph" w:customStyle="1" w:styleId="NoteBullet">
    <w:name w:val="Note Bullet"/>
    <w:basedOn w:val="Note"/>
    <w:rsid w:val="002C2EAE"/>
    <w:pPr>
      <w:tabs>
        <w:tab w:val="clear" w:pos="680"/>
      </w:tabs>
      <w:spacing w:before="60" w:after="60"/>
    </w:pPr>
  </w:style>
  <w:style w:type="paragraph" w:customStyle="1" w:styleId="SubHeading2">
    <w:name w:val="SubHeading2"/>
    <w:basedOn w:val="HeadingBase"/>
    <w:rsid w:val="002C2EAE"/>
    <w:pPr>
      <w:spacing w:before="240" w:after="60"/>
    </w:pPr>
    <w:rPr>
      <w:sz w:val="20"/>
    </w:rPr>
  </w:style>
  <w:style w:type="paragraph" w:customStyle="1" w:styleId="SubHeading1">
    <w:name w:val="SubHeading1"/>
    <w:basedOn w:val="HeadingBase"/>
    <w:rsid w:val="002C2EAE"/>
    <w:pPr>
      <w:spacing w:before="240" w:after="60"/>
    </w:pPr>
    <w:rPr>
      <w:color w:val="918585"/>
      <w:sz w:val="22"/>
    </w:rPr>
  </w:style>
  <w:style w:type="paragraph" w:customStyle="1" w:styleId="SideHeading">
    <w:name w:val="Side Heading"/>
    <w:basedOn w:val="HeadingBase"/>
    <w:rsid w:val="002C2E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EAE"/>
    <w:pPr>
      <w:tabs>
        <w:tab w:val="num" w:pos="360"/>
      </w:tabs>
    </w:pPr>
  </w:style>
  <w:style w:type="paragraph" w:styleId="PlainText">
    <w:name w:val="Plain Text"/>
    <w:basedOn w:val="Normal"/>
    <w:link w:val="PlainTextChar"/>
    <w:rsid w:val="002C2EAE"/>
    <w:rPr>
      <w:sz w:val="20"/>
    </w:rPr>
  </w:style>
  <w:style w:type="character" w:customStyle="1" w:styleId="PlainTextChar">
    <w:name w:val="Plain Text Char"/>
    <w:basedOn w:val="DefaultParagraphFont"/>
    <w:link w:val="PlainText"/>
    <w:rsid w:val="002C2EAE"/>
    <w:rPr>
      <w:rFonts w:ascii="Courier New" w:eastAsia="Times New Roman" w:hAnsi="Courier New" w:cs="Times New Roman"/>
      <w:sz w:val="20"/>
      <w:szCs w:val="20"/>
      <w:lang w:eastAsia="en-US"/>
    </w:rPr>
  </w:style>
  <w:style w:type="character" w:customStyle="1" w:styleId="MenuOption">
    <w:name w:val="Menu Option"/>
    <w:basedOn w:val="DefaultParagraphFont"/>
    <w:rsid w:val="002C2EAE"/>
    <w:rPr>
      <w:b/>
      <w:smallCaps/>
    </w:rPr>
  </w:style>
  <w:style w:type="paragraph" w:customStyle="1" w:styleId="TableListNumber">
    <w:name w:val="Table List Number"/>
    <w:basedOn w:val="ListNumber"/>
    <w:rsid w:val="002C2EAE"/>
    <w:pPr>
      <w:numPr>
        <w:numId w:val="0"/>
      </w:numPr>
    </w:pPr>
  </w:style>
  <w:style w:type="paragraph" w:styleId="TOC4">
    <w:name w:val="toc 4"/>
    <w:basedOn w:val="TOCBase"/>
    <w:next w:val="Normal"/>
    <w:semiHidden/>
    <w:rsid w:val="002C2EAE"/>
    <w:pPr>
      <w:tabs>
        <w:tab w:val="right" w:leader="dot" w:pos="9071"/>
      </w:tabs>
      <w:ind w:left="1701"/>
    </w:pPr>
  </w:style>
  <w:style w:type="paragraph" w:customStyle="1" w:styleId="ListAlpha">
    <w:name w:val="List Alpha"/>
    <w:basedOn w:val="List"/>
    <w:rsid w:val="002C2EAE"/>
    <w:pPr>
      <w:numPr>
        <w:numId w:val="9"/>
      </w:numPr>
    </w:pPr>
  </w:style>
  <w:style w:type="paragraph" w:customStyle="1" w:styleId="ListAlpha2">
    <w:name w:val="List Alpha 2"/>
    <w:basedOn w:val="List2"/>
    <w:rsid w:val="002C2EAE"/>
    <w:pPr>
      <w:numPr>
        <w:numId w:val="8"/>
      </w:numPr>
    </w:pPr>
  </w:style>
  <w:style w:type="paragraph" w:styleId="List2">
    <w:name w:val="List 2"/>
    <w:basedOn w:val="BodyText"/>
    <w:rsid w:val="002C2EAE"/>
    <w:pPr>
      <w:tabs>
        <w:tab w:val="left" w:pos="680"/>
      </w:tabs>
      <w:spacing w:before="60" w:after="60"/>
      <w:ind w:left="680" w:hanging="340"/>
    </w:pPr>
  </w:style>
  <w:style w:type="paragraph" w:styleId="List3">
    <w:name w:val="List 3"/>
    <w:basedOn w:val="BodyText"/>
    <w:rsid w:val="002C2EAE"/>
    <w:pPr>
      <w:tabs>
        <w:tab w:val="left" w:pos="1021"/>
      </w:tabs>
      <w:spacing w:before="60" w:after="60"/>
      <w:ind w:left="1020" w:hanging="340"/>
    </w:pPr>
  </w:style>
  <w:style w:type="paragraph" w:styleId="List4">
    <w:name w:val="List 4"/>
    <w:basedOn w:val="BodyText"/>
    <w:rsid w:val="002C2EAE"/>
    <w:pPr>
      <w:tabs>
        <w:tab w:val="left" w:pos="1361"/>
      </w:tabs>
      <w:spacing w:before="60" w:after="60"/>
      <w:ind w:left="1361" w:hanging="340"/>
    </w:pPr>
  </w:style>
  <w:style w:type="paragraph" w:styleId="List5">
    <w:name w:val="List 5"/>
    <w:basedOn w:val="BodyText"/>
    <w:rsid w:val="002C2EAE"/>
    <w:pPr>
      <w:tabs>
        <w:tab w:val="left" w:pos="1701"/>
      </w:tabs>
      <w:spacing w:before="60" w:after="60"/>
      <w:ind w:left="1701" w:hanging="340"/>
    </w:pPr>
  </w:style>
  <w:style w:type="paragraph" w:styleId="ListBullet3">
    <w:name w:val="List Bullet 3"/>
    <w:basedOn w:val="List3"/>
    <w:rsid w:val="002C2EAE"/>
    <w:pPr>
      <w:numPr>
        <w:numId w:val="14"/>
      </w:numPr>
      <w:tabs>
        <w:tab w:val="clear" w:pos="1021"/>
      </w:tabs>
      <w:ind w:left="1037" w:hanging="357"/>
    </w:pPr>
  </w:style>
  <w:style w:type="paragraph" w:styleId="ListBullet4">
    <w:name w:val="List Bullet 4"/>
    <w:basedOn w:val="List4"/>
    <w:rsid w:val="002C2EAE"/>
    <w:pPr>
      <w:numPr>
        <w:numId w:val="3"/>
      </w:numPr>
      <w:tabs>
        <w:tab w:val="clear" w:pos="1361"/>
      </w:tabs>
    </w:pPr>
  </w:style>
  <w:style w:type="paragraph" w:styleId="ListBullet5">
    <w:name w:val="List Bullet 5"/>
    <w:basedOn w:val="List5"/>
    <w:rsid w:val="002C2EAE"/>
    <w:pPr>
      <w:numPr>
        <w:numId w:val="4"/>
      </w:numPr>
    </w:pPr>
  </w:style>
  <w:style w:type="paragraph" w:styleId="ListContinue2">
    <w:name w:val="List Continue 2"/>
    <w:basedOn w:val="List2"/>
    <w:rsid w:val="002C2EAE"/>
    <w:pPr>
      <w:ind w:firstLine="0"/>
    </w:pPr>
  </w:style>
  <w:style w:type="paragraph" w:styleId="ListContinue3">
    <w:name w:val="List Continue 3"/>
    <w:basedOn w:val="List3"/>
    <w:rsid w:val="002C2EAE"/>
    <w:pPr>
      <w:ind w:left="1021" w:firstLine="0"/>
    </w:pPr>
  </w:style>
  <w:style w:type="paragraph" w:styleId="ListContinue4">
    <w:name w:val="List Continue 4"/>
    <w:basedOn w:val="List4"/>
    <w:rsid w:val="002C2EAE"/>
    <w:pPr>
      <w:ind w:firstLine="0"/>
    </w:pPr>
  </w:style>
  <w:style w:type="paragraph" w:styleId="ListContinue5">
    <w:name w:val="List Continue 5"/>
    <w:basedOn w:val="List5"/>
    <w:rsid w:val="002C2EAE"/>
    <w:pPr>
      <w:ind w:firstLine="0"/>
    </w:pPr>
  </w:style>
  <w:style w:type="paragraph" w:styleId="ListNumber3">
    <w:name w:val="List Number 3"/>
    <w:basedOn w:val="List3"/>
    <w:rsid w:val="002C2EAE"/>
    <w:pPr>
      <w:numPr>
        <w:numId w:val="5"/>
      </w:numPr>
    </w:pPr>
  </w:style>
  <w:style w:type="paragraph" w:styleId="ListNumber4">
    <w:name w:val="List Number 4"/>
    <w:basedOn w:val="List4"/>
    <w:rsid w:val="002C2EAE"/>
    <w:pPr>
      <w:numPr>
        <w:numId w:val="6"/>
      </w:numPr>
    </w:pPr>
  </w:style>
  <w:style w:type="paragraph" w:styleId="ListNumber5">
    <w:name w:val="List Number 5"/>
    <w:basedOn w:val="List5"/>
    <w:rsid w:val="002C2EAE"/>
    <w:pPr>
      <w:numPr>
        <w:numId w:val="7"/>
      </w:numPr>
    </w:pPr>
  </w:style>
  <w:style w:type="paragraph" w:styleId="BlockText">
    <w:name w:val="Block Text"/>
    <w:basedOn w:val="Normal"/>
    <w:rsid w:val="002C2EAE"/>
    <w:pPr>
      <w:spacing w:after="120"/>
      <w:ind w:left="1440" w:right="1440"/>
    </w:pPr>
  </w:style>
  <w:style w:type="character" w:customStyle="1" w:styleId="Subscript">
    <w:name w:val="Subscript"/>
    <w:basedOn w:val="DefaultParagraphFont"/>
    <w:rsid w:val="002C2EAE"/>
    <w:rPr>
      <w:sz w:val="16"/>
      <w:vertAlign w:val="subscript"/>
    </w:rPr>
  </w:style>
  <w:style w:type="character" w:customStyle="1" w:styleId="Superscript">
    <w:name w:val="Superscript"/>
    <w:basedOn w:val="DefaultParagraphFont"/>
    <w:rsid w:val="002C2EAE"/>
    <w:rPr>
      <w:sz w:val="16"/>
      <w:vertAlign w:val="superscript"/>
    </w:rPr>
  </w:style>
  <w:style w:type="character" w:customStyle="1" w:styleId="Symbols">
    <w:name w:val="Symbols"/>
    <w:basedOn w:val="DefaultParagraphFont"/>
    <w:rsid w:val="002C2EAE"/>
    <w:rPr>
      <w:rFonts w:ascii="Symbol" w:hAnsi="Symbol"/>
    </w:rPr>
  </w:style>
  <w:style w:type="character" w:customStyle="1" w:styleId="MenuOptions">
    <w:name w:val="Menu Options"/>
    <w:basedOn w:val="DefaultParagraphFont"/>
    <w:rsid w:val="002C2EAE"/>
    <w:rPr>
      <w:rFonts w:ascii="Arial Narrow" w:hAnsi="Arial Narrow"/>
      <w:smallCaps/>
    </w:rPr>
  </w:style>
  <w:style w:type="character" w:customStyle="1" w:styleId="Buttons">
    <w:name w:val="Buttons"/>
    <w:basedOn w:val="DefaultParagraphFont"/>
    <w:rsid w:val="002C2EAE"/>
    <w:rPr>
      <w:b/>
    </w:rPr>
  </w:style>
  <w:style w:type="character" w:customStyle="1" w:styleId="Underlined">
    <w:name w:val="Underlined"/>
    <w:basedOn w:val="DefaultParagraphFont"/>
    <w:rsid w:val="002C2EAE"/>
    <w:rPr>
      <w:u w:val="single"/>
    </w:rPr>
  </w:style>
  <w:style w:type="paragraph" w:customStyle="1" w:styleId="TableBodyTextRight">
    <w:name w:val="Table Body Text Right"/>
    <w:basedOn w:val="TableBodyText"/>
    <w:rsid w:val="002C2EAE"/>
    <w:pPr>
      <w:widowControl w:val="0"/>
      <w:autoSpaceDE w:val="0"/>
      <w:autoSpaceDN w:val="0"/>
      <w:adjustRightInd w:val="0"/>
      <w:jc w:val="right"/>
    </w:pPr>
    <w:rPr>
      <w:rFonts w:cs="Arial"/>
      <w:szCs w:val="18"/>
    </w:rPr>
  </w:style>
  <w:style w:type="paragraph" w:customStyle="1" w:styleId="CopyrightText">
    <w:name w:val="Copyright Text"/>
    <w:basedOn w:val="BodyText"/>
    <w:rsid w:val="002C2EAE"/>
    <w:rPr>
      <w:sz w:val="18"/>
    </w:rPr>
  </w:style>
  <w:style w:type="paragraph" w:customStyle="1" w:styleId="BodySmallRight">
    <w:name w:val="Body Small Right"/>
    <w:basedOn w:val="BodyTextRight"/>
    <w:rsid w:val="002C2EAE"/>
    <w:rPr>
      <w:sz w:val="18"/>
      <w:szCs w:val="18"/>
    </w:rPr>
  </w:style>
  <w:style w:type="paragraph" w:customStyle="1" w:styleId="MarginEdition">
    <w:name w:val="Margin Edition"/>
    <w:basedOn w:val="MarginNote"/>
    <w:rsid w:val="002C2EAE"/>
    <w:pPr>
      <w:spacing w:before="0" w:after="0"/>
    </w:pPr>
    <w:rPr>
      <w:rFonts w:ascii="Times New Roman" w:hAnsi="Times New Roman"/>
      <w:color w:val="999999"/>
    </w:rPr>
  </w:style>
  <w:style w:type="paragraph" w:customStyle="1" w:styleId="Spacer">
    <w:name w:val="Spacer"/>
    <w:basedOn w:val="Normal"/>
    <w:rsid w:val="002C2EAE"/>
    <w:rPr>
      <w:sz w:val="2"/>
      <w:szCs w:val="2"/>
    </w:rPr>
  </w:style>
  <w:style w:type="character" w:customStyle="1" w:styleId="Small">
    <w:name w:val="Small"/>
    <w:basedOn w:val="DefaultParagraphFont"/>
    <w:rsid w:val="002C2EAE"/>
    <w:rPr>
      <w:sz w:val="16"/>
    </w:rPr>
  </w:style>
  <w:style w:type="paragraph" w:customStyle="1" w:styleId="WideTable">
    <w:name w:val="Wide Table"/>
    <w:basedOn w:val="Normal"/>
    <w:rsid w:val="002C2EAE"/>
    <w:pPr>
      <w:ind w:left="-1418"/>
    </w:pPr>
    <w:rPr>
      <w:sz w:val="2"/>
      <w:szCs w:val="2"/>
    </w:rPr>
  </w:style>
  <w:style w:type="character" w:styleId="PageNumber">
    <w:name w:val="page number"/>
    <w:basedOn w:val="DefaultParagraphFont"/>
    <w:rsid w:val="002C2EAE"/>
  </w:style>
  <w:style w:type="paragraph" w:styleId="Quote">
    <w:name w:val="Quote"/>
    <w:basedOn w:val="Heading1"/>
    <w:link w:val="QuoteChar"/>
    <w:qFormat/>
    <w:rsid w:val="002C2EAE"/>
    <w:rPr>
      <w:b w:val="0"/>
      <w:sz w:val="72"/>
      <w:szCs w:val="72"/>
      <w:lang w:val="en-NZ"/>
    </w:rPr>
  </w:style>
  <w:style w:type="character" w:customStyle="1" w:styleId="QuoteChar">
    <w:name w:val="Quote Char"/>
    <w:basedOn w:val="DefaultParagraphFont"/>
    <w:link w:val="Quote"/>
    <w:rsid w:val="002C2E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EAE"/>
    <w:pPr>
      <w:pageBreakBefore/>
    </w:pPr>
  </w:style>
  <w:style w:type="paragraph" w:customStyle="1" w:styleId="Border">
    <w:name w:val="Border"/>
    <w:basedOn w:val="Normal"/>
    <w:qFormat/>
    <w:rsid w:val="002C2E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EAE"/>
    <w:rPr>
      <w:b/>
      <w:bCs/>
      <w:i/>
      <w:iCs/>
      <w:color w:val="auto"/>
    </w:rPr>
  </w:style>
  <w:style w:type="paragraph" w:styleId="IntenseQuote">
    <w:name w:val="Intense Quote"/>
    <w:basedOn w:val="Normal"/>
    <w:next w:val="Normal"/>
    <w:link w:val="IntenseQuoteChar"/>
    <w:uiPriority w:val="30"/>
    <w:qFormat/>
    <w:rsid w:val="002C2E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E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2EAE"/>
    <w:rPr>
      <w:smallCaps/>
      <w:color w:val="auto"/>
      <w:u w:val="single"/>
    </w:rPr>
  </w:style>
  <w:style w:type="character" w:styleId="IntenseReference">
    <w:name w:val="Intense Reference"/>
    <w:basedOn w:val="DefaultParagraphFont"/>
    <w:uiPriority w:val="32"/>
    <w:qFormat/>
    <w:rsid w:val="002C2EAE"/>
    <w:rPr>
      <w:b/>
      <w:bCs/>
      <w:smallCaps/>
      <w:color w:val="auto"/>
      <w:spacing w:val="5"/>
      <w:u w:val="single"/>
    </w:rPr>
  </w:style>
  <w:style w:type="paragraph" w:customStyle="1" w:styleId="2ColumnHeading">
    <w:name w:val="2Column Heading"/>
    <w:basedOn w:val="BodyText"/>
    <w:qFormat/>
    <w:rsid w:val="002C2EAE"/>
    <w:pPr>
      <w:spacing w:after="60"/>
      <w:ind w:left="-2268"/>
    </w:pPr>
    <w:rPr>
      <w:b/>
    </w:rPr>
  </w:style>
  <w:style w:type="paragraph" w:customStyle="1" w:styleId="Heading1TOC">
    <w:name w:val="Heading1 TOC"/>
    <w:basedOn w:val="Normal"/>
    <w:qFormat/>
    <w:rsid w:val="002C2EAE"/>
    <w:pPr>
      <w:spacing w:before="240" w:after="120"/>
    </w:pPr>
    <w:rPr>
      <w:rFonts w:ascii="Times New Roman" w:hAnsi="Times New Roman"/>
      <w:b/>
      <w:sz w:val="32"/>
    </w:rPr>
  </w:style>
  <w:style w:type="paragraph" w:customStyle="1" w:styleId="Heading2TOC">
    <w:name w:val="Heading2 TOC"/>
    <w:basedOn w:val="Normal"/>
    <w:qFormat/>
    <w:rsid w:val="002C2EAE"/>
    <w:pPr>
      <w:spacing w:before="240" w:after="60"/>
    </w:pPr>
    <w:rPr>
      <w:rFonts w:ascii="Times New Roman" w:hAnsi="Times New Roman"/>
      <w:b/>
      <w:sz w:val="28"/>
    </w:rPr>
  </w:style>
  <w:style w:type="character" w:customStyle="1" w:styleId="Underline">
    <w:name w:val="Underline"/>
    <w:basedOn w:val="DefaultParagraphFont"/>
    <w:qFormat/>
    <w:rsid w:val="002C2EAE"/>
    <w:rPr>
      <w:u w:val="single"/>
    </w:rPr>
  </w:style>
  <w:style w:type="character" w:customStyle="1" w:styleId="BoldandItalics">
    <w:name w:val="Bold and Italics"/>
    <w:qFormat/>
    <w:rsid w:val="002C2EAE"/>
    <w:rPr>
      <w:b/>
      <w:i/>
      <w:u w:val="none"/>
    </w:rPr>
  </w:style>
  <w:style w:type="paragraph" w:styleId="BalloonText">
    <w:name w:val="Balloon Text"/>
    <w:basedOn w:val="Normal"/>
    <w:link w:val="BalloonTextChar"/>
    <w:rsid w:val="002C2EAE"/>
    <w:rPr>
      <w:rFonts w:ascii="Tahoma" w:hAnsi="Tahoma" w:cs="Tahoma"/>
      <w:sz w:val="16"/>
      <w:szCs w:val="16"/>
    </w:rPr>
  </w:style>
  <w:style w:type="character" w:customStyle="1" w:styleId="BalloonTextChar">
    <w:name w:val="Balloon Text Char"/>
    <w:basedOn w:val="DefaultParagraphFont"/>
    <w:link w:val="BalloonText"/>
    <w:rsid w:val="002C2E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2E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2E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2EAE"/>
    <w:rPr>
      <w:b/>
      <w:color w:val="660033"/>
      <w:spacing w:val="0"/>
    </w:rPr>
  </w:style>
  <w:style w:type="paragraph" w:customStyle="1" w:styleId="Nameditemlist">
    <w:name w:val="Named item list"/>
    <w:basedOn w:val="BodyText"/>
    <w:qFormat/>
    <w:rsid w:val="002C2EAE"/>
    <w:pPr>
      <w:tabs>
        <w:tab w:val="left" w:pos="2835"/>
      </w:tabs>
      <w:ind w:left="2835" w:hanging="2835"/>
    </w:pPr>
  </w:style>
  <w:style w:type="paragraph" w:customStyle="1" w:styleId="BodyTextnopadding">
    <w:name w:val="Body Text no padding"/>
    <w:basedOn w:val="BodyText"/>
    <w:qFormat/>
    <w:rsid w:val="002C2EAE"/>
    <w:pPr>
      <w:spacing w:before="0" w:after="0"/>
    </w:pPr>
  </w:style>
  <w:style w:type="paragraph" w:customStyle="1" w:styleId="BodyTextBold">
    <w:name w:val="Body Text Bold"/>
    <w:basedOn w:val="BodyText"/>
    <w:qFormat/>
    <w:rsid w:val="002C2EAE"/>
    <w:rPr>
      <w:b/>
    </w:rPr>
  </w:style>
  <w:style w:type="character" w:styleId="Hyperlink">
    <w:name w:val="Hyperlink"/>
    <w:basedOn w:val="DefaultParagraphFont"/>
    <w:uiPriority w:val="99"/>
    <w:unhideWhenUsed/>
    <w:rsid w:val="001824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1398</Words>
  <Characters>9037</Characters>
  <Application>Microsoft Office Word</Application>
  <DocSecurity>0</DocSecurity>
  <Lines>282</Lines>
  <Paragraphs>196</Paragraphs>
  <ScaleCrop>false</ScaleCrop>
  <Company>Author-it Software Corporation Ltd.</Company>
  <LinksUpToDate>false</LinksUpToDate>
  <CharactersWithSpaces>10239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FBPGRA4001 Control power and automation for milling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2025-03-01T09:33:00Z</dcterms:created>
  <dcterms:modified xsi:type="dcterms:W3CDTF">2025-03-01T09:33:00Z</dcterms:modified>
</cp:coreProperties>
</file>