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9C7" w:rsidP="00FF6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FBPGRA4001 Control power and automation for milling processes</w:t>
      </w:r>
      <w:r>
        <w:fldChar w:fldCharType="end"/>
      </w:r>
    </w:p>
    <w:p w:rsidR="00FF69C7" w:rsidP="00FF69C7">
      <w:pPr>
        <w:pStyle w:val="Version"/>
        <w:sectPr w:rsidSect="00743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09C" w:rsidP="0074309C">
      <w:pPr>
        <w:pStyle w:val="SuperHeading"/>
      </w:pPr>
      <w:r w:rsidRPr="0074309C">
        <w:t>Assessment Requirements for FBPGRA4001 Control power and automation for milling processes</w:t>
      </w:r>
    </w:p>
    <w:p w:rsidR="00000000" w:rsidRPr="0074309C" w:rsidP="0074309C">
      <w:pPr>
        <w:pStyle w:val="Heading1"/>
      </w:pPr>
      <w:bookmarkStart w:id="1" w:name="O_971075"/>
      <w:bookmarkEnd w:id="1"/>
      <w:r w:rsidRPr="007430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3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09C" w:rsidP="0074309C">
            <w:pPr>
              <w:pStyle w:val="BodyText"/>
            </w:pPr>
            <w:r w:rsidRPr="0074309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09C">
            <w:pPr>
              <w:pStyle w:val="BodyText"/>
              <w:rPr>
                <w:lang w:val="en-NZ"/>
              </w:rPr>
            </w:pPr>
            <w:r w:rsidRPr="0074309C">
              <w:rPr>
                <w:rStyle w:val="SpecialBold"/>
              </w:rPr>
              <w:t>Comments</w:t>
            </w:r>
          </w:p>
        </w:tc>
      </w:tr>
      <w:tr w:rsidTr="00743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09C">
            <w:pPr>
              <w:pStyle w:val="BodyText"/>
              <w:rPr>
                <w:lang w:val="en-NZ"/>
              </w:rPr>
            </w:pPr>
            <w:r w:rsidRPr="007430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09C" w:rsidP="0074309C">
            <w:pPr>
              <w:pStyle w:val="BodyText"/>
            </w:pPr>
            <w:r w:rsidRPr="0074309C">
              <w:t>This version released with FBP Food, Beverage and Pharmaceutical Training Package version 1.0.</w:t>
            </w:r>
          </w:p>
        </w:tc>
      </w:tr>
    </w:tbl>
    <w:p w:rsidR="00000000" w:rsidRPr="0074309C" w:rsidP="0074309C">
      <w:pPr>
        <w:pStyle w:val="BodyText"/>
      </w:pPr>
    </w:p>
    <w:p w:rsidR="00000000" w:rsidRPr="0074309C" w:rsidP="0074309C">
      <w:pPr>
        <w:pStyle w:val="AllowPageBreak"/>
      </w:pPr>
    </w:p>
    <w:p w:rsidR="00000000" w:rsidRPr="0074309C" w:rsidP="0074309C">
      <w:pPr>
        <w:pStyle w:val="Heading1"/>
      </w:pPr>
      <w:bookmarkStart w:id="2" w:name="O_971076"/>
      <w:bookmarkEnd w:id="2"/>
      <w:r w:rsidRPr="0074309C">
        <w:t>Performance Evidence</w:t>
      </w:r>
    </w:p>
    <w:p w:rsidR="00000000" w:rsidRPr="0074309C" w:rsidP="00FF69C7">
      <w:pPr>
        <w:pStyle w:val="BodyText"/>
      </w:pPr>
      <w:r w:rsidRPr="0074309C">
        <w:t>An individual demonstrating competency must satisfy all of the elements and performance criteria in this unit.</w:t>
      </w:r>
    </w:p>
    <w:p w:rsidR="00000000" w:rsidRPr="0074309C" w:rsidP="00FF69C7">
      <w:pPr>
        <w:pStyle w:val="BodyText"/>
      </w:pPr>
      <w:r w:rsidRPr="0074309C">
        <w:t>There must be evidence that, on at least one occasion, the individual has:</w:t>
      </w:r>
    </w:p>
    <w:p w:rsidR="00000000" w:rsidRPr="0074309C" w:rsidP="0074309C">
      <w:pPr>
        <w:pStyle w:val="ListBullet"/>
      </w:pPr>
      <w:r w:rsidRPr="0074309C">
        <w:t>interpreted schematics and ident</w:t>
      </w:r>
      <w:r w:rsidRPr="0074309C">
        <w:t>ified range of utilities used by mill</w:t>
      </w:r>
    </w:p>
    <w:p w:rsidR="00000000" w:rsidRPr="0074309C" w:rsidP="0074309C">
      <w:pPr>
        <w:pStyle w:val="ListBullet"/>
      </w:pPr>
      <w:r w:rsidRPr="0074309C">
        <w:t>determined importance of services to mill operations</w:t>
      </w:r>
    </w:p>
    <w:p w:rsidR="00000000" w:rsidRPr="0074309C" w:rsidP="0074309C">
      <w:pPr>
        <w:pStyle w:val="ListBullet"/>
      </w:pPr>
      <w:r w:rsidRPr="0074309C">
        <w:t>identified key features and requirements of installed electrical safety systems</w:t>
      </w:r>
    </w:p>
    <w:p w:rsidR="00000000" w:rsidRPr="0074309C" w:rsidP="0074309C">
      <w:pPr>
        <w:pStyle w:val="ListBullet"/>
      </w:pPr>
      <w:r w:rsidRPr="0074309C">
        <w:t>matched milling requirements to available services and equipment, including electricity, gas and other fuels, steam generation, hydraulics and pneumatics</w:t>
      </w:r>
    </w:p>
    <w:p w:rsidR="00000000" w:rsidRPr="0074309C" w:rsidP="0074309C">
      <w:pPr>
        <w:pStyle w:val="ListBullet"/>
      </w:pPr>
      <w:r w:rsidRPr="0074309C">
        <w:t>used computerised and other control equipment to achieve desired milling outcomes</w:t>
      </w:r>
    </w:p>
    <w:p w:rsidR="00000000" w:rsidRPr="0074309C" w:rsidP="0074309C">
      <w:pPr>
        <w:pStyle w:val="ListBullet"/>
      </w:pPr>
      <w:r w:rsidRPr="0074309C">
        <w:t>determined fuel sour</w:t>
      </w:r>
      <w:r w:rsidRPr="0074309C">
        <w:t>ces and power demand patterns for mill operations</w:t>
      </w:r>
    </w:p>
    <w:p w:rsidR="00000000" w:rsidRPr="0074309C" w:rsidP="0074309C">
      <w:pPr>
        <w:pStyle w:val="ListBullet"/>
      </w:pPr>
      <w:r w:rsidRPr="0074309C">
        <w:t>assessed fuel supply capacity</w:t>
      </w:r>
    </w:p>
    <w:p w:rsidR="00000000" w:rsidRPr="0074309C" w:rsidP="0074309C">
      <w:pPr>
        <w:pStyle w:val="ListBullet"/>
      </w:pPr>
      <w:r w:rsidRPr="0074309C">
        <w:t>determined control equipment and control options for mill</w:t>
      </w:r>
    </w:p>
    <w:p w:rsidR="00000000" w:rsidRPr="0074309C" w:rsidP="0074309C">
      <w:pPr>
        <w:pStyle w:val="ListBullet"/>
      </w:pPr>
      <w:r w:rsidRPr="0074309C">
        <w:t>established risk management and contingency strategies for mill power and automation</w:t>
      </w:r>
    </w:p>
    <w:p w:rsidR="00000000" w:rsidRPr="0074309C" w:rsidP="0074309C">
      <w:pPr>
        <w:pStyle w:val="ListBullet"/>
      </w:pPr>
      <w:r w:rsidRPr="0074309C">
        <w:t xml:space="preserve">integrated equipment maintenance </w:t>
      </w:r>
      <w:r w:rsidRPr="0074309C">
        <w:t>and lubrication strategies with production requirements</w:t>
      </w:r>
    </w:p>
    <w:p w:rsidR="00000000" w:rsidRPr="0074309C" w:rsidP="0074309C">
      <w:pPr>
        <w:pStyle w:val="ListBullet"/>
      </w:pPr>
      <w:r w:rsidRPr="0074309C">
        <w:t>interpreted manuals, other technical information, diagrams and drawings</w:t>
      </w:r>
    </w:p>
    <w:p w:rsidR="00000000" w:rsidRPr="0074309C" w:rsidP="0074309C">
      <w:pPr>
        <w:pStyle w:val="ListBullet"/>
      </w:pPr>
      <w:r w:rsidRPr="0074309C">
        <w:t>applied safe work practices and identified work health and safety hazards and controls.</w:t>
      </w:r>
    </w:p>
    <w:p w:rsidR="00000000" w:rsidRPr="0074309C" w:rsidP="0074309C">
      <w:pPr>
        <w:pStyle w:val="AllowPageBreak"/>
      </w:pPr>
    </w:p>
    <w:p w:rsidR="00000000" w:rsidRPr="0074309C" w:rsidP="0074309C">
      <w:pPr>
        <w:pStyle w:val="Heading1"/>
      </w:pPr>
      <w:bookmarkStart w:id="3" w:name="O_971077"/>
      <w:bookmarkEnd w:id="3"/>
      <w:r w:rsidRPr="0074309C">
        <w:t>Knowledge Evidence</w:t>
      </w:r>
    </w:p>
    <w:p w:rsidR="00000000" w:rsidRPr="0074309C" w:rsidP="00FF69C7">
      <w:pPr>
        <w:pStyle w:val="BodyText"/>
      </w:pPr>
      <w:r w:rsidRPr="0074309C">
        <w:t>An i</w:t>
      </w:r>
      <w:r w:rsidRPr="0074309C">
        <w:t>ndividual must be able to demonstrate the knowledge required to perform the tasks outlined in the elements and performance criteria of this unit. This includes knowledge of:</w:t>
      </w:r>
    </w:p>
    <w:p w:rsidR="00000000" w:rsidRPr="0074309C" w:rsidP="0074309C">
      <w:pPr>
        <w:pStyle w:val="ListBullet"/>
      </w:pPr>
      <w:r w:rsidRPr="0074309C">
        <w:t>types of electric motors and their advantages and disadvantages</w:t>
      </w:r>
    </w:p>
    <w:p w:rsidR="00000000" w:rsidRPr="0074309C" w:rsidP="0074309C">
      <w:pPr>
        <w:pStyle w:val="ListBullet"/>
      </w:pPr>
      <w:r w:rsidRPr="0074309C">
        <w:t>function and oper</w:t>
      </w:r>
      <w:r w:rsidRPr="0074309C">
        <w:t>ational requirements of power system components, including:</w:t>
      </w:r>
    </w:p>
    <w:p w:rsidR="00000000" w:rsidRPr="0074309C" w:rsidP="0074309C">
      <w:pPr>
        <w:pStyle w:val="ListBullet2"/>
      </w:pPr>
      <w:r w:rsidRPr="0074309C">
        <w:t>mains supply terminal</w:t>
      </w:r>
    </w:p>
    <w:p w:rsidR="00000000" w:rsidRPr="0074309C" w:rsidP="0074309C">
      <w:pPr>
        <w:pStyle w:val="ListBullet2"/>
      </w:pPr>
      <w:r w:rsidRPr="0074309C">
        <w:t>mill transformers</w:t>
      </w:r>
    </w:p>
    <w:p w:rsidR="00000000" w:rsidRPr="0074309C" w:rsidP="0074309C">
      <w:pPr>
        <w:pStyle w:val="ListBullet2"/>
      </w:pPr>
      <w:r w:rsidRPr="0074309C">
        <w:t>back-up generation and supply system</w:t>
      </w:r>
    </w:p>
    <w:p w:rsidR="00000000" w:rsidRPr="0074309C" w:rsidP="0074309C">
      <w:pPr>
        <w:pStyle w:val="ListBullet2"/>
      </w:pPr>
      <w:r w:rsidRPr="0074309C">
        <w:t>electrical safety systems</w:t>
      </w:r>
    </w:p>
    <w:p w:rsidR="00000000" w:rsidRPr="0074309C" w:rsidP="0074309C">
      <w:pPr>
        <w:pStyle w:val="ListBullet2"/>
      </w:pPr>
      <w:r w:rsidRPr="0074309C">
        <w:t>motor control and motor protection strategies</w:t>
      </w:r>
    </w:p>
    <w:p w:rsidR="00000000" w:rsidRPr="0074309C" w:rsidP="0074309C">
      <w:pPr>
        <w:pStyle w:val="ListBullet2"/>
      </w:pPr>
      <w:r w:rsidRPr="0074309C">
        <w:t>demand and diversity factors</w:t>
      </w:r>
    </w:p>
    <w:p w:rsidR="00000000" w:rsidRPr="0074309C" w:rsidP="0074309C">
      <w:pPr>
        <w:pStyle w:val="ListBullet"/>
      </w:pPr>
      <w:r w:rsidRPr="0074309C">
        <w:t>fuel sources for mill uses, including:</w:t>
      </w:r>
    </w:p>
    <w:p w:rsidR="00000000" w:rsidRPr="0074309C" w:rsidP="0074309C">
      <w:pPr>
        <w:pStyle w:val="ListBullet2"/>
      </w:pPr>
      <w:r w:rsidRPr="0074309C">
        <w:t>on-site boilers</w:t>
      </w:r>
    </w:p>
    <w:p w:rsidR="00000000" w:rsidRPr="0074309C" w:rsidP="0074309C">
      <w:pPr>
        <w:pStyle w:val="ListBullet2"/>
      </w:pPr>
      <w:r w:rsidRPr="0074309C">
        <w:t>emergency generators</w:t>
      </w:r>
    </w:p>
    <w:p w:rsidR="00000000" w:rsidRPr="0074309C" w:rsidP="0074309C">
      <w:pPr>
        <w:pStyle w:val="ListBullet2"/>
      </w:pPr>
      <w:r w:rsidRPr="0074309C">
        <w:t>fuel powered equipment</w:t>
      </w:r>
    </w:p>
    <w:p w:rsidR="00000000" w:rsidRPr="0074309C" w:rsidP="0074309C">
      <w:pPr>
        <w:pStyle w:val="ListBullet"/>
      </w:pPr>
      <w:r w:rsidRPr="0074309C">
        <w:t>mechanical power transmission types and principles, including:</w:t>
      </w:r>
    </w:p>
    <w:p w:rsidR="00000000" w:rsidRPr="0074309C" w:rsidP="0074309C">
      <w:pPr>
        <w:pStyle w:val="ListBullet2"/>
      </w:pPr>
      <w:r w:rsidRPr="0074309C">
        <w:t>direct drives</w:t>
      </w:r>
    </w:p>
    <w:p w:rsidR="00000000" w:rsidRPr="0074309C" w:rsidP="0074309C">
      <w:pPr>
        <w:pStyle w:val="ListBullet2"/>
      </w:pPr>
      <w:r w:rsidRPr="0074309C">
        <w:t>belt drives</w:t>
      </w:r>
    </w:p>
    <w:p w:rsidR="00000000" w:rsidRPr="0074309C" w:rsidP="0074309C">
      <w:pPr>
        <w:pStyle w:val="ListBullet2"/>
      </w:pPr>
      <w:r w:rsidRPr="0074309C">
        <w:t>chain drives</w:t>
      </w:r>
    </w:p>
    <w:p w:rsidR="00000000" w:rsidRPr="0074309C" w:rsidP="0074309C">
      <w:pPr>
        <w:pStyle w:val="ListBullet2"/>
      </w:pPr>
      <w:r w:rsidRPr="0074309C">
        <w:t>gears</w:t>
      </w:r>
    </w:p>
    <w:p w:rsidR="00000000" w:rsidRPr="0074309C" w:rsidP="0074309C">
      <w:pPr>
        <w:pStyle w:val="ListBullet"/>
      </w:pPr>
      <w:r w:rsidRPr="0074309C">
        <w:t>factors influencing the velocity of particles</w:t>
      </w:r>
      <w:r w:rsidRPr="0074309C">
        <w:t xml:space="preserve"> in free air and in positive and negative air streams</w:t>
      </w:r>
    </w:p>
    <w:p w:rsidR="00000000" w:rsidRPr="0074309C" w:rsidP="0074309C">
      <w:pPr>
        <w:pStyle w:val="ListBullet"/>
      </w:pPr>
      <w:r w:rsidRPr="0074309C">
        <w:t>strategy for the prevention of dust explosions</w:t>
      </w:r>
    </w:p>
    <w:p w:rsidR="00000000" w:rsidRPr="0074309C" w:rsidP="0074309C">
      <w:pPr>
        <w:pStyle w:val="ListBullet"/>
      </w:pPr>
      <w:r w:rsidRPr="0074309C">
        <w:t>design principles used in exhaust systems for fans, ductwork and dust collectors</w:t>
      </w:r>
    </w:p>
    <w:p w:rsidR="00000000" w:rsidRPr="0074309C" w:rsidP="0074309C">
      <w:pPr>
        <w:pStyle w:val="ListBullet"/>
      </w:pPr>
      <w:r w:rsidRPr="0074309C">
        <w:t>advantages and disadvantages of axial flow, propeller and centrifugal fans</w:t>
      </w:r>
    </w:p>
    <w:p w:rsidR="00000000" w:rsidRPr="0074309C" w:rsidP="0074309C">
      <w:pPr>
        <w:pStyle w:val="ListBullet"/>
      </w:pPr>
      <w:r w:rsidRPr="0074309C">
        <w:t>advantages and disadvantages of forward, backward and radial bladed rotors</w:t>
      </w:r>
    </w:p>
    <w:p w:rsidR="00000000" w:rsidRPr="0074309C" w:rsidP="0074309C">
      <w:pPr>
        <w:pStyle w:val="ListBullet"/>
      </w:pPr>
      <w:r w:rsidRPr="0074309C">
        <w:t>types of mill controls and back-up strategies</w:t>
      </w:r>
    </w:p>
    <w:p w:rsidR="00000000" w:rsidRPr="0074309C" w:rsidP="0074309C">
      <w:pPr>
        <w:pStyle w:val="ListBullet"/>
      </w:pPr>
      <w:r w:rsidRPr="0074309C">
        <w:t>purpose and function of instrumentation, including:</w:t>
      </w:r>
    </w:p>
    <w:p w:rsidR="00000000" w:rsidRPr="0074309C" w:rsidP="0074309C">
      <w:pPr>
        <w:pStyle w:val="ListBullet2"/>
      </w:pPr>
      <w:r w:rsidRPr="0074309C">
        <w:t>proximity switches</w:t>
      </w:r>
    </w:p>
    <w:p w:rsidR="00000000" w:rsidRPr="0074309C" w:rsidP="0074309C">
      <w:pPr>
        <w:pStyle w:val="ListBullet2"/>
      </w:pPr>
      <w:r w:rsidRPr="0074309C">
        <w:t>position sensors</w:t>
      </w:r>
    </w:p>
    <w:p w:rsidR="00000000" w:rsidRPr="0074309C" w:rsidP="0074309C">
      <w:pPr>
        <w:pStyle w:val="ListBullet2"/>
      </w:pPr>
      <w:r w:rsidRPr="0074309C">
        <w:t>transducers</w:t>
      </w:r>
    </w:p>
    <w:p w:rsidR="00000000" w:rsidRPr="0074309C" w:rsidP="0074309C">
      <w:pPr>
        <w:pStyle w:val="ListBullet2"/>
      </w:pPr>
      <w:r w:rsidRPr="0074309C">
        <w:t>tachometers</w:t>
      </w:r>
    </w:p>
    <w:p w:rsidR="00000000" w:rsidRPr="0074309C" w:rsidP="0074309C">
      <w:pPr>
        <w:pStyle w:val="ListBullet2"/>
      </w:pPr>
      <w:r w:rsidRPr="0074309C">
        <w:t>flow meters</w:t>
      </w:r>
    </w:p>
    <w:p w:rsidR="00000000" w:rsidRPr="0074309C" w:rsidP="0074309C">
      <w:pPr>
        <w:pStyle w:val="ListBullet2"/>
      </w:pPr>
      <w:r w:rsidRPr="0074309C">
        <w:t>weighers</w:t>
      </w:r>
    </w:p>
    <w:p w:rsidR="00000000" w:rsidRPr="0074309C" w:rsidP="0074309C">
      <w:pPr>
        <w:pStyle w:val="ListBullet2"/>
      </w:pPr>
      <w:r w:rsidRPr="0074309C">
        <w:t>load cells</w:t>
      </w:r>
    </w:p>
    <w:p w:rsidR="00000000" w:rsidRPr="0074309C" w:rsidP="0074309C">
      <w:pPr>
        <w:pStyle w:val="ListBullet2"/>
      </w:pPr>
      <w:r w:rsidRPr="0074309C">
        <w:t>bin level indicators</w:t>
      </w:r>
    </w:p>
    <w:p w:rsidR="00000000" w:rsidRPr="0074309C" w:rsidP="0074309C">
      <w:pPr>
        <w:pStyle w:val="ListBullet2"/>
      </w:pPr>
      <w:r w:rsidRPr="0074309C">
        <w:t>pressure switches</w:t>
      </w:r>
    </w:p>
    <w:p w:rsidR="00000000" w:rsidRPr="0074309C" w:rsidP="0074309C">
      <w:pPr>
        <w:pStyle w:val="ListBullet2"/>
      </w:pPr>
      <w:r w:rsidRPr="0074309C">
        <w:t>programmable logistic controllers (PLCs), system control and data acquisition (SCADA) systems, and other programmable instrumentation and systems</w:t>
      </w:r>
    </w:p>
    <w:p w:rsidR="00000000" w:rsidRPr="0074309C" w:rsidP="0074309C">
      <w:pPr>
        <w:pStyle w:val="ListBullet"/>
      </w:pPr>
      <w:r w:rsidRPr="0074309C">
        <w:t>mill equipment and its location and function</w:t>
      </w:r>
    </w:p>
    <w:p w:rsidR="00000000" w:rsidRPr="0074309C" w:rsidP="0074309C">
      <w:pPr>
        <w:pStyle w:val="ListBullet"/>
      </w:pPr>
      <w:r w:rsidRPr="0074309C">
        <w:t>maximum power demand for mill</w:t>
      </w:r>
    </w:p>
    <w:p w:rsidR="00000000" w:rsidRPr="0074309C" w:rsidP="0074309C">
      <w:pPr>
        <w:pStyle w:val="ListBullet"/>
      </w:pPr>
      <w:r w:rsidRPr="0074309C">
        <w:t>typical range of power demand for mill, taking into account scope of equipment and average production requirements.</w:t>
      </w:r>
    </w:p>
    <w:p w:rsidR="00000000" w:rsidRPr="0074309C" w:rsidP="0074309C">
      <w:pPr>
        <w:pStyle w:val="AllowPageBreak"/>
      </w:pPr>
    </w:p>
    <w:p w:rsidR="00000000" w:rsidRPr="0074309C" w:rsidP="0074309C">
      <w:pPr>
        <w:pStyle w:val="Heading1"/>
      </w:pPr>
      <w:bookmarkStart w:id="4" w:name="O_971078"/>
      <w:bookmarkEnd w:id="4"/>
      <w:r w:rsidRPr="0074309C">
        <w:t>Assessment Conditions</w:t>
      </w:r>
    </w:p>
    <w:p w:rsidR="00000000" w:rsidRPr="0074309C" w:rsidP="00FF69C7">
      <w:pPr>
        <w:pStyle w:val="BodyText"/>
      </w:pPr>
      <w:r w:rsidRPr="0074309C">
        <w:t>Assessment of skills must take place under the following conditions:</w:t>
      </w:r>
    </w:p>
    <w:p w:rsidR="00000000" w:rsidRPr="0074309C" w:rsidP="0074309C">
      <w:pPr>
        <w:pStyle w:val="ListBullet"/>
      </w:pPr>
      <w:r w:rsidRPr="0074309C">
        <w:t>p</w:t>
      </w:r>
      <w:r w:rsidRPr="0074309C">
        <w:t>hysical conditions:</w:t>
      </w:r>
    </w:p>
    <w:p w:rsidR="00000000" w:rsidRPr="0074309C" w:rsidP="0074309C">
      <w:pPr>
        <w:pStyle w:val="ListBullet2"/>
      </w:pPr>
      <w:r w:rsidRPr="0074309C">
        <w:t>a workplace or an environment that accurately represents workplace conditions</w:t>
      </w:r>
    </w:p>
    <w:p w:rsidR="00000000" w:rsidRPr="0074309C" w:rsidP="0074309C">
      <w:pPr>
        <w:pStyle w:val="ListBullet"/>
      </w:pPr>
      <w:r w:rsidRPr="0074309C">
        <w:t>resources, equipment and materials:</w:t>
      </w:r>
    </w:p>
    <w:p w:rsidR="00000000" w:rsidRPr="0074309C" w:rsidP="0074309C">
      <w:pPr>
        <w:pStyle w:val="ListBullet2"/>
      </w:pPr>
      <w:r w:rsidRPr="0074309C">
        <w:t>personal protective equipment relevant to flour milling operations</w:t>
      </w:r>
    </w:p>
    <w:p w:rsidR="00000000" w:rsidRPr="0074309C" w:rsidP="0074309C">
      <w:pPr>
        <w:pStyle w:val="ListBullet2"/>
      </w:pPr>
      <w:r w:rsidRPr="0074309C">
        <w:t>sampling schedules and test procedures and equipment</w:t>
      </w:r>
    </w:p>
    <w:p w:rsidR="00000000" w:rsidRPr="0074309C" w:rsidP="0074309C">
      <w:pPr>
        <w:pStyle w:val="ListBullet"/>
      </w:pPr>
      <w:r w:rsidRPr="0074309C">
        <w:t>specifications:</w:t>
      </w:r>
    </w:p>
    <w:p w:rsidR="00000000" w:rsidRPr="0074309C" w:rsidP="0074309C">
      <w:pPr>
        <w:pStyle w:val="ListBullet2"/>
      </w:pPr>
      <w:r w:rsidRPr="0074309C">
        <w:t>work procedures, including advice on safe work practices, food safety, quality and environmental requirements</w:t>
      </w:r>
    </w:p>
    <w:p w:rsidR="00000000" w:rsidRPr="0074309C" w:rsidP="0074309C">
      <w:pPr>
        <w:pStyle w:val="ListBullet2"/>
      </w:pPr>
      <w:r w:rsidRPr="0074309C">
        <w:t>equipment manuals including operating parameters</w:t>
      </w:r>
    </w:p>
    <w:p w:rsidR="00000000" w:rsidRPr="0074309C" w:rsidP="0074309C">
      <w:pPr>
        <w:pStyle w:val="ListBullet2"/>
      </w:pPr>
      <w:r w:rsidRPr="0074309C">
        <w:t>specifications, control points and processing parameters</w:t>
      </w:r>
    </w:p>
    <w:p w:rsidR="00000000" w:rsidRPr="0074309C" w:rsidP="0074309C">
      <w:pPr>
        <w:pStyle w:val="ListBullet2"/>
      </w:pPr>
      <w:r w:rsidRPr="0074309C">
        <w:t>documentation and recording requirements and procedures.</w:t>
      </w:r>
    </w:p>
    <w:p w:rsidR="00000000" w:rsidRPr="0074309C" w:rsidP="0074309C">
      <w:pPr>
        <w:pStyle w:val="BodyText"/>
      </w:pPr>
    </w:p>
    <w:p w:rsidR="00000000" w:rsidRPr="0074309C" w:rsidP="00FF69C7">
      <w:pPr>
        <w:pStyle w:val="BodyText"/>
      </w:pPr>
      <w:r w:rsidRPr="0074309C">
        <w:t>Assessors of this unit must satisfy the requirements for assessors in applicable vocational education and training legislation, frameworks and/or standards.</w:t>
      </w:r>
    </w:p>
    <w:p w:rsidR="00000000" w:rsidRPr="0074309C" w:rsidP="0074309C">
      <w:pPr>
        <w:pStyle w:val="Heading1"/>
      </w:pPr>
      <w:bookmarkStart w:id="5" w:name="O_971081"/>
      <w:bookmarkEnd w:id="5"/>
      <w:r w:rsidRPr="0074309C">
        <w:t>Links</w:t>
      </w:r>
    </w:p>
    <w:p w:rsidR="00000000" w:rsidRPr="0074309C" w:rsidP="00FF69C7">
      <w:pPr>
        <w:pStyle w:val="BodyText"/>
      </w:pPr>
      <w:r w:rsidRPr="0074309C">
        <w:t>Companion Volumes,</w:t>
      </w:r>
      <w:r w:rsidRPr="0074309C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460F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4309C" w:rsidP="0074309C"/>
    <w:sectPr w:rsidSect="007430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9C" w:rsidRPr="00FF69C7" w:rsidP="00FF6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C7" w:rsidP="00743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9C7" w:rsidP="00743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69C7" w:rsidP="00743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09C" w:rsidRPr="00FF69C7" w:rsidP="00FF6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C7" w:rsidRPr="002D2AF8" w:rsidP="00743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FBPGRA4001 Control power and automation for milling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F69C7" w:rsidP="00743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A4A8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D8A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CC6E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09C"/>
  </w:style>
  <w:style w:type="character" w:customStyle="1" w:styleId="Heading1Char">
    <w:name w:val="Heading 1 Char"/>
    <w:basedOn w:val="DefaultParagraphFont"/>
    <w:link w:val="Heading1"/>
    <w:rsid w:val="00743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0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0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309C"/>
    <w:rPr>
      <w:b/>
      <w:spacing w:val="0"/>
    </w:rPr>
  </w:style>
  <w:style w:type="paragraph" w:styleId="ListBullet2">
    <w:name w:val="List Bullet 2"/>
    <w:basedOn w:val="List2"/>
    <w:rsid w:val="007430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3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0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3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09C"/>
    <w:rPr>
      <w:i/>
    </w:rPr>
  </w:style>
  <w:style w:type="paragraph" w:styleId="Caption">
    <w:name w:val="caption"/>
    <w:basedOn w:val="BodyText"/>
    <w:next w:val="Normal"/>
    <w:qFormat/>
    <w:rsid w:val="00743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09C"/>
  </w:style>
  <w:style w:type="paragraph" w:styleId="TableofFigures">
    <w:name w:val="table of figures"/>
    <w:basedOn w:val="Normal"/>
    <w:next w:val="Normal"/>
    <w:semiHidden/>
    <w:rsid w:val="00743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0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09C"/>
    <w:rPr>
      <w:rFonts w:ascii="Wingdings" w:hAnsi="Wingdings"/>
    </w:rPr>
  </w:style>
  <w:style w:type="paragraph" w:customStyle="1" w:styleId="TableHeading">
    <w:name w:val="Table Heading"/>
    <w:basedOn w:val="HeadingBase"/>
    <w:rsid w:val="00743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09C"/>
    <w:rPr>
      <w:color w:val="0033CC"/>
      <w:u w:val="none"/>
    </w:rPr>
  </w:style>
  <w:style w:type="paragraph" w:customStyle="1" w:styleId="BodyTextRight">
    <w:name w:val="Body Text Right"/>
    <w:basedOn w:val="BodyText"/>
    <w:rsid w:val="00743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0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09C"/>
    <w:rPr>
      <w:sz w:val="32"/>
    </w:rPr>
  </w:style>
  <w:style w:type="paragraph" w:customStyle="1" w:styleId="HeadingProcedure">
    <w:name w:val="Heading Procedure"/>
    <w:basedOn w:val="HeadingBase"/>
    <w:next w:val="Normal"/>
    <w:rsid w:val="00743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09C"/>
    <w:pPr>
      <w:spacing w:before="60" w:after="60"/>
    </w:pPr>
  </w:style>
  <w:style w:type="paragraph" w:styleId="ListContinue">
    <w:name w:val="List Continue"/>
    <w:basedOn w:val="List"/>
    <w:rsid w:val="0074309C"/>
    <w:pPr>
      <w:ind w:firstLine="0"/>
    </w:pPr>
  </w:style>
  <w:style w:type="paragraph" w:customStyle="1" w:styleId="ListNote">
    <w:name w:val="List Note"/>
    <w:basedOn w:val="List"/>
    <w:rsid w:val="00743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09C"/>
    <w:rPr>
      <w:rFonts w:ascii="Courier New" w:hAnsi="Courier New"/>
    </w:rPr>
  </w:style>
  <w:style w:type="paragraph" w:customStyle="1" w:styleId="NoteBullet">
    <w:name w:val="Note Bullet"/>
    <w:basedOn w:val="Note"/>
    <w:rsid w:val="00743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0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09C"/>
    <w:rPr>
      <w:b/>
      <w:smallCaps/>
    </w:rPr>
  </w:style>
  <w:style w:type="paragraph" w:customStyle="1" w:styleId="TableListNumber">
    <w:name w:val="Table List Number"/>
    <w:basedOn w:val="ListNumber"/>
    <w:rsid w:val="00743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09C"/>
    <w:pPr>
      <w:numPr>
        <w:numId w:val="9"/>
      </w:numPr>
    </w:pPr>
  </w:style>
  <w:style w:type="paragraph" w:customStyle="1" w:styleId="ListAlpha2">
    <w:name w:val="List Alpha 2"/>
    <w:basedOn w:val="List2"/>
    <w:rsid w:val="0074309C"/>
    <w:pPr>
      <w:numPr>
        <w:numId w:val="8"/>
      </w:numPr>
    </w:pPr>
  </w:style>
  <w:style w:type="paragraph" w:styleId="List2">
    <w:name w:val="List 2"/>
    <w:basedOn w:val="BodyText"/>
    <w:rsid w:val="00743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0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0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09C"/>
    <w:pPr>
      <w:numPr>
        <w:numId w:val="4"/>
      </w:numPr>
    </w:pPr>
  </w:style>
  <w:style w:type="paragraph" w:styleId="ListContinue2">
    <w:name w:val="List Continue 2"/>
    <w:basedOn w:val="List2"/>
    <w:rsid w:val="0074309C"/>
    <w:pPr>
      <w:ind w:firstLine="0"/>
    </w:pPr>
  </w:style>
  <w:style w:type="paragraph" w:styleId="ListContinue3">
    <w:name w:val="List Continue 3"/>
    <w:basedOn w:val="List3"/>
    <w:rsid w:val="0074309C"/>
    <w:pPr>
      <w:ind w:left="1021" w:firstLine="0"/>
    </w:pPr>
  </w:style>
  <w:style w:type="paragraph" w:styleId="ListContinue4">
    <w:name w:val="List Continue 4"/>
    <w:basedOn w:val="List4"/>
    <w:rsid w:val="0074309C"/>
    <w:pPr>
      <w:ind w:firstLine="0"/>
    </w:pPr>
  </w:style>
  <w:style w:type="paragraph" w:styleId="ListContinue5">
    <w:name w:val="List Continue 5"/>
    <w:basedOn w:val="List5"/>
    <w:rsid w:val="0074309C"/>
    <w:pPr>
      <w:ind w:firstLine="0"/>
    </w:pPr>
  </w:style>
  <w:style w:type="paragraph" w:styleId="ListNumber3">
    <w:name w:val="List Number 3"/>
    <w:basedOn w:val="List3"/>
    <w:rsid w:val="0074309C"/>
    <w:pPr>
      <w:numPr>
        <w:numId w:val="5"/>
      </w:numPr>
    </w:pPr>
  </w:style>
  <w:style w:type="paragraph" w:styleId="ListNumber4">
    <w:name w:val="List Number 4"/>
    <w:basedOn w:val="List4"/>
    <w:rsid w:val="0074309C"/>
    <w:pPr>
      <w:numPr>
        <w:numId w:val="6"/>
      </w:numPr>
    </w:pPr>
  </w:style>
  <w:style w:type="paragraph" w:styleId="ListNumber5">
    <w:name w:val="List Number 5"/>
    <w:basedOn w:val="List5"/>
    <w:rsid w:val="0074309C"/>
    <w:pPr>
      <w:numPr>
        <w:numId w:val="7"/>
      </w:numPr>
    </w:pPr>
  </w:style>
  <w:style w:type="paragraph" w:styleId="BlockText">
    <w:name w:val="Block Text"/>
    <w:basedOn w:val="Normal"/>
    <w:rsid w:val="00743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09C"/>
    <w:rPr>
      <w:sz w:val="16"/>
      <w:vertAlign w:val="superscript"/>
    </w:rPr>
  </w:style>
  <w:style w:type="character" w:customStyle="1" w:styleId="Symbols">
    <w:name w:val="Symbols"/>
    <w:basedOn w:val="DefaultParagraphFont"/>
    <w:rsid w:val="0074309C"/>
    <w:rPr>
      <w:rFonts w:ascii="Symbol" w:hAnsi="Symbol"/>
    </w:rPr>
  </w:style>
  <w:style w:type="character" w:customStyle="1" w:styleId="MenuOptions">
    <w:name w:val="Menu Options"/>
    <w:basedOn w:val="DefaultParagraphFont"/>
    <w:rsid w:val="00743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09C"/>
    <w:rPr>
      <w:b/>
    </w:rPr>
  </w:style>
  <w:style w:type="character" w:customStyle="1" w:styleId="Underlined">
    <w:name w:val="Underlined"/>
    <w:basedOn w:val="DefaultParagraphFont"/>
    <w:rsid w:val="0074309C"/>
    <w:rPr>
      <w:u w:val="single"/>
    </w:rPr>
  </w:style>
  <w:style w:type="paragraph" w:customStyle="1" w:styleId="TableBodyTextRight">
    <w:name w:val="Table Body Text Right"/>
    <w:basedOn w:val="TableBodyText"/>
    <w:rsid w:val="00743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09C"/>
    <w:rPr>
      <w:sz w:val="18"/>
    </w:rPr>
  </w:style>
  <w:style w:type="paragraph" w:customStyle="1" w:styleId="BodySmallRight">
    <w:name w:val="Body Small Right"/>
    <w:basedOn w:val="BodyTextRight"/>
    <w:rsid w:val="0074309C"/>
    <w:rPr>
      <w:sz w:val="18"/>
      <w:szCs w:val="18"/>
    </w:rPr>
  </w:style>
  <w:style w:type="paragraph" w:customStyle="1" w:styleId="MarginEdition">
    <w:name w:val="Margin Edition"/>
    <w:basedOn w:val="MarginNote"/>
    <w:rsid w:val="00743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09C"/>
    <w:rPr>
      <w:sz w:val="2"/>
      <w:szCs w:val="2"/>
    </w:rPr>
  </w:style>
  <w:style w:type="character" w:customStyle="1" w:styleId="Small">
    <w:name w:val="Small"/>
    <w:basedOn w:val="DefaultParagraphFont"/>
    <w:rsid w:val="0074309C"/>
    <w:rPr>
      <w:sz w:val="16"/>
    </w:rPr>
  </w:style>
  <w:style w:type="paragraph" w:customStyle="1" w:styleId="WideTable">
    <w:name w:val="Wide Table"/>
    <w:basedOn w:val="Normal"/>
    <w:rsid w:val="00743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09C"/>
  </w:style>
  <w:style w:type="paragraph" w:styleId="Quote">
    <w:name w:val="Quote"/>
    <w:basedOn w:val="Heading1"/>
    <w:link w:val="QuoteChar"/>
    <w:qFormat/>
    <w:rsid w:val="00743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09C"/>
    <w:pPr>
      <w:pageBreakBefore/>
    </w:pPr>
  </w:style>
  <w:style w:type="paragraph" w:customStyle="1" w:styleId="Border">
    <w:name w:val="Border"/>
    <w:basedOn w:val="Normal"/>
    <w:qFormat/>
    <w:rsid w:val="00743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09C"/>
    <w:rPr>
      <w:u w:val="single"/>
    </w:rPr>
  </w:style>
  <w:style w:type="character" w:customStyle="1" w:styleId="BoldandItalics">
    <w:name w:val="Bold and Italics"/>
    <w:qFormat/>
    <w:rsid w:val="0074309C"/>
    <w:rPr>
      <w:b/>
      <w:i/>
      <w:u w:val="none"/>
    </w:rPr>
  </w:style>
  <w:style w:type="paragraph" w:styleId="BalloonText">
    <w:name w:val="Balloon Text"/>
    <w:basedOn w:val="Normal"/>
    <w:link w:val="BalloonTextChar"/>
    <w:rsid w:val="00743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09C"/>
    <w:pPr>
      <w:spacing w:before="0" w:after="0"/>
    </w:pPr>
  </w:style>
  <w:style w:type="paragraph" w:customStyle="1" w:styleId="BodyTextBold">
    <w:name w:val="Body Text Bold"/>
    <w:basedOn w:val="BodyText"/>
    <w:qFormat/>
    <w:rsid w:val="0074309C"/>
    <w:rPr>
      <w:b/>
    </w:rPr>
  </w:style>
  <w:style w:type="character" w:styleId="Hyperlink">
    <w:name w:val="Hyperlink"/>
    <w:basedOn w:val="DefaultParagraphFont"/>
    <w:uiPriority w:val="99"/>
    <w:unhideWhenUsed/>
    <w:rsid w:val="00FF69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3734</Characters>
  <Application>Microsoft Office Word</Application>
  <DocSecurity>0</DocSecurity>
  <Lines>100</Lines>
  <Paragraphs>89</Paragraphs>
  <ScaleCrop>false</ScaleCrop>
  <Company>Author-it Software Corporation Ltd.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FBPGRA4001 Control power and automation for milling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2021-03-22T08:42:00Z</dcterms:created>
  <dcterms:modified xsi:type="dcterms:W3CDTF">2021-03-22T08:42:00Z</dcterms:modified>
</cp:coreProperties>
</file>