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17EC" w:rsidP="00D417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FBPGRA3028 Monitor scratch and sizing</w:t>
      </w:r>
      <w:r>
        <w:fldChar w:fldCharType="end"/>
      </w:r>
    </w:p>
    <w:p w:rsidR="00D417EC" w:rsidP="00D417EC">
      <w:pPr>
        <w:pStyle w:val="Version"/>
        <w:sectPr w:rsidSect="00906E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6EB2" w:rsidP="00906EB2">
      <w:pPr>
        <w:pStyle w:val="SuperHeading"/>
      </w:pPr>
      <w:r w:rsidRPr="00906EB2">
        <w:t>Assessment Requirements for FBPGRA3028 Monitor scratch and sizing</w:t>
      </w:r>
    </w:p>
    <w:p w:rsidR="00000000" w:rsidRPr="00906EB2" w:rsidP="00906EB2">
      <w:pPr>
        <w:pStyle w:val="Heading1"/>
      </w:pPr>
      <w:bookmarkStart w:id="1" w:name="O_1186965"/>
      <w:bookmarkEnd w:id="1"/>
      <w:r w:rsidRPr="00906E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06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EB2">
            <w:pPr>
              <w:pStyle w:val="BodyTextBold"/>
              <w:rPr>
                <w:lang w:val="en-NZ"/>
              </w:rPr>
            </w:pPr>
            <w:r w:rsidRPr="00906EB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EB2">
            <w:pPr>
              <w:pStyle w:val="BodyTextBold"/>
              <w:rPr>
                <w:lang w:val="en-NZ"/>
              </w:rPr>
            </w:pPr>
            <w:r w:rsidRPr="00906EB2">
              <w:t>Comments</w:t>
            </w:r>
          </w:p>
        </w:tc>
      </w:tr>
      <w:tr w:rsidTr="00906E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EB2">
            <w:pPr>
              <w:pStyle w:val="BodyText"/>
              <w:rPr>
                <w:lang w:val="en-NZ"/>
              </w:rPr>
            </w:pPr>
            <w:r w:rsidRPr="00906EB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EB2" w:rsidP="00906EB2">
            <w:pPr>
              <w:pStyle w:val="BodyText"/>
            </w:pPr>
            <w:r w:rsidRPr="00906EB2">
              <w:t>This version released with FBP Food, Beverage and Pharmaceutical Training Package Version 6.0.</w:t>
            </w:r>
          </w:p>
        </w:tc>
      </w:tr>
    </w:tbl>
    <w:p w:rsidR="00000000" w:rsidRPr="00906EB2" w:rsidP="00906EB2">
      <w:pPr>
        <w:pStyle w:val="BodyText"/>
      </w:pPr>
    </w:p>
    <w:p w:rsidR="00000000" w:rsidRPr="00906EB2" w:rsidP="00906EB2">
      <w:pPr>
        <w:pStyle w:val="AllowPageBreak"/>
      </w:pPr>
    </w:p>
    <w:p w:rsidR="00000000" w:rsidRPr="00906EB2" w:rsidP="00906EB2">
      <w:pPr>
        <w:pStyle w:val="Heading1"/>
      </w:pPr>
      <w:bookmarkStart w:id="2" w:name="O_1186966"/>
      <w:bookmarkEnd w:id="2"/>
      <w:r w:rsidRPr="00906EB2">
        <w:t>Performance Evidence</w:t>
      </w:r>
    </w:p>
    <w:p w:rsidR="00000000" w:rsidRPr="00906EB2" w:rsidP="00D417EC">
      <w:pPr>
        <w:pStyle w:val="BodyText"/>
      </w:pPr>
      <w:r w:rsidRPr="00906EB2">
        <w:t>An individual demonstrating competency must satisfy all of the elements and performance criteria in this unit.</w:t>
      </w:r>
    </w:p>
    <w:p w:rsidR="00000000" w:rsidRPr="00906EB2" w:rsidP="00D417EC">
      <w:pPr>
        <w:pStyle w:val="BodyText"/>
      </w:pPr>
      <w:r w:rsidRPr="00906EB2">
        <w:t>There must be evidence that the individual has monitored scratch and sizing on at least one occasion, including:</w:t>
      </w:r>
    </w:p>
    <w:p w:rsidR="00000000" w:rsidRPr="00906EB2" w:rsidP="00906EB2">
      <w:pPr>
        <w:pStyle w:val="ListBullet"/>
      </w:pPr>
      <w:r w:rsidRPr="00906EB2">
        <w:t>applying s</w:t>
      </w:r>
      <w:r w:rsidRPr="00906EB2">
        <w:t>afe work practices</w:t>
      </w:r>
    </w:p>
    <w:p w:rsidR="00000000" w:rsidRPr="00906EB2" w:rsidP="00906EB2">
      <w:pPr>
        <w:pStyle w:val="ListBullet"/>
      </w:pPr>
      <w:r w:rsidRPr="00906EB2">
        <w:t>applying food safety procedures to work practices</w:t>
      </w:r>
    </w:p>
    <w:p w:rsidR="00000000" w:rsidRPr="00906EB2" w:rsidP="00906EB2">
      <w:pPr>
        <w:pStyle w:val="ListBullet"/>
      </w:pPr>
      <w:r w:rsidRPr="00906EB2">
        <w:t>ensuring as little bran as possible adheres to the endosperm following the head miller</w:t>
      </w:r>
      <w:r>
        <w:t>’</w:t>
      </w:r>
      <w:r w:rsidRPr="00906EB2">
        <w:t>s instructions</w:t>
      </w:r>
    </w:p>
    <w:p w:rsidR="00000000" w:rsidRPr="00906EB2" w:rsidP="00906EB2">
      <w:pPr>
        <w:pStyle w:val="ListBullet"/>
      </w:pPr>
      <w:r w:rsidRPr="00906EB2">
        <w:t>reporting inconsistencies or variations.</w:t>
      </w:r>
    </w:p>
    <w:p w:rsidR="00000000" w:rsidRPr="00906EB2" w:rsidP="00906EB2">
      <w:pPr>
        <w:pStyle w:val="AllowPageBreak"/>
      </w:pPr>
    </w:p>
    <w:p w:rsidR="00000000" w:rsidRPr="00906EB2" w:rsidP="00906EB2">
      <w:pPr>
        <w:pStyle w:val="Heading1"/>
      </w:pPr>
      <w:bookmarkStart w:id="3" w:name="O_1186967"/>
      <w:bookmarkEnd w:id="3"/>
      <w:r w:rsidRPr="00906EB2">
        <w:t>Knowledge Evidence</w:t>
      </w:r>
    </w:p>
    <w:p w:rsidR="00000000" w:rsidRPr="00906EB2" w:rsidP="00D417EC">
      <w:pPr>
        <w:pStyle w:val="BodyText"/>
      </w:pPr>
      <w:r w:rsidRPr="00906EB2">
        <w:t>An individual must be able to demonstrate the knowledge required to perform the tasks outlined in the elements and performance criteria of this unit. This includes knowledge of:</w:t>
      </w:r>
    </w:p>
    <w:p w:rsidR="00000000" w:rsidRPr="00906EB2" w:rsidP="00906EB2">
      <w:pPr>
        <w:pStyle w:val="ListBullet"/>
      </w:pPr>
      <w:r w:rsidRPr="00906EB2">
        <w:t xml:space="preserve">purpose and basic principles of scratch and sizing </w:t>
      </w:r>
    </w:p>
    <w:p w:rsidR="00000000" w:rsidRPr="00906EB2" w:rsidP="00906EB2">
      <w:pPr>
        <w:pStyle w:val="ListBullet"/>
      </w:pPr>
      <w:r w:rsidRPr="00906EB2">
        <w:t>basic operating principle</w:t>
      </w:r>
      <w:r w:rsidRPr="00906EB2">
        <w:t>s of equipment, including:</w:t>
      </w:r>
    </w:p>
    <w:p w:rsidR="00000000" w:rsidRPr="00906EB2" w:rsidP="00906EB2">
      <w:pPr>
        <w:pStyle w:val="ListBullet2"/>
      </w:pPr>
      <w:r w:rsidRPr="00906EB2">
        <w:t>main equipment components, including</w:t>
      </w:r>
      <w:r w:rsidRPr="00906EB2">
        <w:rPr>
          <w:rStyle w:val="SpecialBold"/>
        </w:rPr>
        <w:t xml:space="preserve"> </w:t>
      </w:r>
      <w:r w:rsidRPr="00906EB2">
        <w:t>where and how adjustments can be made</w:t>
      </w:r>
    </w:p>
    <w:p w:rsidR="00000000" w:rsidRPr="00906EB2" w:rsidP="00906EB2">
      <w:pPr>
        <w:pStyle w:val="ListBullet2"/>
      </w:pPr>
      <w:r w:rsidRPr="00906EB2">
        <w:t>status and purpose of guards</w:t>
      </w:r>
    </w:p>
    <w:p w:rsidR="00000000" w:rsidRPr="00906EB2" w:rsidP="00906EB2">
      <w:pPr>
        <w:pStyle w:val="ListBullet2"/>
      </w:pPr>
      <w:r w:rsidRPr="00906EB2">
        <w:t>equipment operating capacities and applications</w:t>
      </w:r>
    </w:p>
    <w:p w:rsidR="00000000" w:rsidRPr="00906EB2" w:rsidP="00906EB2">
      <w:pPr>
        <w:pStyle w:val="ListBullet2"/>
      </w:pPr>
      <w:r w:rsidRPr="00906EB2">
        <w:t>the purpose and location of sensors and related feedback instrumentation</w:t>
      </w:r>
    </w:p>
    <w:p w:rsidR="00000000" w:rsidRPr="00906EB2" w:rsidP="00906EB2">
      <w:pPr>
        <w:pStyle w:val="ListBullet"/>
      </w:pPr>
      <w:r w:rsidRPr="00906EB2">
        <w:t>se</w:t>
      </w:r>
      <w:r w:rsidRPr="00906EB2">
        <w:t>rvices required, and action to take if services are not available</w:t>
      </w:r>
    </w:p>
    <w:p w:rsidR="00000000" w:rsidRPr="00906EB2" w:rsidP="00906EB2">
      <w:pPr>
        <w:pStyle w:val="ListBullet"/>
      </w:pPr>
      <w:r w:rsidRPr="00906EB2">
        <w:t>good manufacturing practices (GMP) relevant to work task</w:t>
      </w:r>
    </w:p>
    <w:p w:rsidR="00000000" w:rsidRPr="00906EB2" w:rsidP="00906EB2">
      <w:pPr>
        <w:pStyle w:val="ListBullet"/>
      </w:pPr>
      <w:r w:rsidRPr="00906EB2">
        <w:t>the flow of the scratch and sizing process and the effect of basic outputs on downstream milling processes</w:t>
      </w:r>
    </w:p>
    <w:p w:rsidR="00000000" w:rsidRPr="00906EB2" w:rsidP="00906EB2">
      <w:pPr>
        <w:pStyle w:val="ListBullet"/>
      </w:pPr>
      <w:r w:rsidRPr="00906EB2">
        <w:t>quality characteristics to be achieved by the scratch and sizing process</w:t>
      </w:r>
    </w:p>
    <w:p w:rsidR="00000000" w:rsidRPr="00906EB2" w:rsidP="00906EB2">
      <w:pPr>
        <w:pStyle w:val="ListBullet"/>
      </w:pPr>
      <w:r w:rsidRPr="00906EB2">
        <w:t>operating requirements and parameters</w:t>
      </w:r>
    </w:p>
    <w:p w:rsidR="00000000" w:rsidRPr="00906EB2" w:rsidP="00906EB2">
      <w:pPr>
        <w:pStyle w:val="ListBullet"/>
      </w:pPr>
      <w:r w:rsidRPr="00906EB2">
        <w:t>methods used to monitor scratch and sizing:</w:t>
      </w:r>
    </w:p>
    <w:p w:rsidR="00000000" w:rsidRPr="00906EB2" w:rsidP="00906EB2">
      <w:pPr>
        <w:pStyle w:val="ListBullet2"/>
      </w:pPr>
      <w:r w:rsidRPr="00906EB2">
        <w:t xml:space="preserve">visual inspections </w:t>
      </w:r>
    </w:p>
    <w:p w:rsidR="00000000" w:rsidRPr="00906EB2" w:rsidP="00906EB2">
      <w:pPr>
        <w:pStyle w:val="ListBullet2"/>
      </w:pPr>
      <w:r w:rsidRPr="00906EB2">
        <w:t>temperature – high temperature is a result of hard grind</w:t>
      </w:r>
    </w:p>
    <w:p w:rsidR="00000000" w:rsidRPr="00906EB2" w:rsidP="00906EB2">
      <w:pPr>
        <w:pStyle w:val="ListBullet"/>
      </w:pPr>
      <w:r w:rsidRPr="00906EB2">
        <w:t>basic contamination/cr</w:t>
      </w:r>
      <w:r w:rsidRPr="00906EB2">
        <w:t>oss-contamination and food safety risks associated with the scratch and sizing process, and related control measures</w:t>
      </w:r>
    </w:p>
    <w:p w:rsidR="00000000" w:rsidRPr="00906EB2" w:rsidP="00906EB2">
      <w:pPr>
        <w:pStyle w:val="ListBullet"/>
      </w:pPr>
      <w:r w:rsidRPr="00906EB2">
        <w:t>typical problems:</w:t>
      </w:r>
    </w:p>
    <w:p w:rsidR="00000000" w:rsidRPr="00906EB2" w:rsidP="00906EB2">
      <w:pPr>
        <w:pStyle w:val="ListBullet2"/>
      </w:pPr>
      <w:r w:rsidRPr="00906EB2">
        <w:t>excessive grinding</w:t>
      </w:r>
    </w:p>
    <w:p w:rsidR="00000000" w:rsidRPr="00906EB2" w:rsidP="00906EB2">
      <w:pPr>
        <w:pStyle w:val="ListBullet2"/>
      </w:pPr>
      <w:r w:rsidRPr="00906EB2">
        <w:t>grinding too light</w:t>
      </w:r>
    </w:p>
    <w:p w:rsidR="00000000" w:rsidRPr="00906EB2" w:rsidP="00906EB2">
      <w:pPr>
        <w:pStyle w:val="ListBullet2"/>
      </w:pPr>
      <w:r w:rsidRPr="00906EB2">
        <w:t>sifter performance</w:t>
      </w:r>
    </w:p>
    <w:p w:rsidR="00000000" w:rsidRPr="00906EB2" w:rsidP="00906EB2">
      <w:pPr>
        <w:pStyle w:val="ListBullet"/>
      </w:pPr>
      <w:r w:rsidRPr="00906EB2">
        <w:t>health and safety hazards and controls</w:t>
      </w:r>
    </w:p>
    <w:p w:rsidR="00000000" w:rsidRPr="00906EB2" w:rsidP="00906EB2">
      <w:pPr>
        <w:pStyle w:val="ListBullet"/>
      </w:pPr>
      <w:r w:rsidRPr="00906EB2">
        <w:t>requirements of differe</w:t>
      </w:r>
      <w:r w:rsidRPr="00906EB2">
        <w:t>nt shutdowns as appropriate to the scratch and sizing process and workplace production requirements, including:</w:t>
      </w:r>
    </w:p>
    <w:p w:rsidR="00000000" w:rsidRPr="00906EB2" w:rsidP="00906EB2">
      <w:pPr>
        <w:pStyle w:val="ListBullet2"/>
      </w:pPr>
      <w:r w:rsidRPr="00906EB2">
        <w:t>routine shutdown</w:t>
      </w:r>
    </w:p>
    <w:p w:rsidR="00000000" w:rsidRPr="00906EB2" w:rsidP="00906EB2">
      <w:pPr>
        <w:pStyle w:val="ListBullet2"/>
      </w:pPr>
      <w:r w:rsidRPr="00906EB2">
        <w:t>unexpected production stop</w:t>
      </w:r>
    </w:p>
    <w:p w:rsidR="00000000" w:rsidRPr="00906EB2" w:rsidP="00906EB2">
      <w:pPr>
        <w:pStyle w:val="ListBullet2"/>
      </w:pPr>
      <w:r w:rsidRPr="00906EB2">
        <w:t>emergency and routine shutdowns</w:t>
      </w:r>
    </w:p>
    <w:p w:rsidR="00000000" w:rsidRPr="00906EB2" w:rsidP="00906EB2">
      <w:pPr>
        <w:pStyle w:val="ListBullet2"/>
      </w:pPr>
      <w:r w:rsidRPr="00906EB2">
        <w:t>procedures to follow in the event of a power outage</w:t>
      </w:r>
    </w:p>
    <w:p w:rsidR="00000000" w:rsidRPr="00906EB2" w:rsidP="00906EB2">
      <w:pPr>
        <w:pStyle w:val="ListBullet"/>
      </w:pPr>
      <w:r w:rsidRPr="00906EB2">
        <w:t>isolation, lock-out and tag-out procedures and responsibilities</w:t>
      </w:r>
    </w:p>
    <w:p w:rsidR="00000000" w:rsidRPr="00906EB2" w:rsidP="00906EB2">
      <w:pPr>
        <w:pStyle w:val="ListBullet"/>
      </w:pPr>
      <w:r w:rsidRPr="00906EB2">
        <w:t>procedures for reporting production and performance information</w:t>
      </w:r>
    </w:p>
    <w:p w:rsidR="00000000" w:rsidRPr="00906EB2" w:rsidP="00906EB2">
      <w:pPr>
        <w:pStyle w:val="ListBullet"/>
      </w:pPr>
      <w:r w:rsidRPr="00906EB2">
        <w:t xml:space="preserve">environmental issues and controls, including waste and rework collection and handling procedures </w:t>
      </w:r>
    </w:p>
    <w:p w:rsidR="00000000" w:rsidRPr="00906EB2" w:rsidP="00906EB2">
      <w:pPr>
        <w:pStyle w:val="ListBullet"/>
      </w:pPr>
      <w:r w:rsidRPr="00906EB2">
        <w:t xml:space="preserve">basic operating principles of </w:t>
      </w:r>
      <w:r w:rsidRPr="00906EB2">
        <w:t>process control, where relevant, including the relationship between control panels and systems and the physical equipment related to the process</w:t>
      </w:r>
    </w:p>
    <w:p w:rsidR="00000000" w:rsidRPr="00906EB2" w:rsidP="00906EB2">
      <w:pPr>
        <w:pStyle w:val="ListBullet"/>
      </w:pPr>
      <w:r w:rsidRPr="00906EB2">
        <w:t>routine maintenance procedures for separation equipment</w:t>
      </w:r>
    </w:p>
    <w:p w:rsidR="00000000" w:rsidRPr="00906EB2" w:rsidP="00906EB2">
      <w:pPr>
        <w:pStyle w:val="ListBullet"/>
      </w:pPr>
      <w:r w:rsidRPr="00906EB2">
        <w:t xml:space="preserve">cleaning and sanitisation procedures for workspace and </w:t>
      </w:r>
      <w:r w:rsidRPr="00906EB2">
        <w:t>equipment</w:t>
      </w:r>
    </w:p>
    <w:p w:rsidR="00000000" w:rsidRPr="00906EB2" w:rsidP="00906EB2">
      <w:pPr>
        <w:pStyle w:val="ListBullet"/>
      </w:pPr>
      <w:r w:rsidRPr="00906EB2">
        <w:t>procedures to track traceability of product</w:t>
      </w:r>
    </w:p>
    <w:p w:rsidR="00000000" w:rsidRPr="00906EB2" w:rsidP="00906EB2">
      <w:pPr>
        <w:pStyle w:val="ListBullet"/>
      </w:pPr>
      <w:r w:rsidRPr="00906EB2">
        <w:t>procedures to ensure biosecurity requirements are met.</w:t>
      </w:r>
    </w:p>
    <w:p w:rsidR="00000000" w:rsidRPr="00906EB2" w:rsidP="00906EB2">
      <w:pPr>
        <w:pStyle w:val="AllowPageBreak"/>
      </w:pPr>
    </w:p>
    <w:p w:rsidR="00000000" w:rsidRPr="00906EB2" w:rsidP="00906EB2">
      <w:pPr>
        <w:pStyle w:val="Heading1"/>
      </w:pPr>
      <w:bookmarkStart w:id="4" w:name="O_1186968"/>
      <w:bookmarkEnd w:id="4"/>
      <w:r w:rsidRPr="00906EB2">
        <w:t>Assessment Conditions</w:t>
      </w:r>
    </w:p>
    <w:p w:rsidR="00000000" w:rsidRPr="00906EB2" w:rsidP="00D417EC">
      <w:pPr>
        <w:pStyle w:val="BodyText"/>
      </w:pPr>
      <w:r w:rsidRPr="00906EB2">
        <w:t>Assessment of the skills in this unit of competency must take place under the following conditions:</w:t>
      </w:r>
    </w:p>
    <w:p w:rsidR="00000000" w:rsidRPr="00906EB2" w:rsidP="00906EB2">
      <w:pPr>
        <w:pStyle w:val="ListBullet"/>
      </w:pPr>
      <w:r w:rsidRPr="00906EB2">
        <w:t>physi</w:t>
      </w:r>
      <w:r w:rsidRPr="00906EB2">
        <w:t>cal conditions:</w:t>
      </w:r>
    </w:p>
    <w:p w:rsidR="00000000" w:rsidRPr="00906EB2" w:rsidP="00906EB2">
      <w:pPr>
        <w:pStyle w:val="ListBullet2"/>
      </w:pPr>
      <w:r w:rsidRPr="00906EB2">
        <w:t>a grain processing workplace or an environment that accurately represents workplace conditions</w:t>
      </w:r>
    </w:p>
    <w:p w:rsidR="00000000" w:rsidRPr="00906EB2" w:rsidP="00906EB2">
      <w:pPr>
        <w:pStyle w:val="ListBullet"/>
      </w:pPr>
      <w:r w:rsidRPr="00906EB2">
        <w:t>resources, equipment and materials:</w:t>
      </w:r>
    </w:p>
    <w:p w:rsidR="00000000" w:rsidRPr="00906EB2" w:rsidP="00906EB2">
      <w:pPr>
        <w:pStyle w:val="ListBullet2"/>
      </w:pPr>
      <w:r w:rsidRPr="00906EB2">
        <w:t>grain for the scratch and sizing process</w:t>
      </w:r>
    </w:p>
    <w:p w:rsidR="00000000" w:rsidRPr="00906EB2" w:rsidP="00906EB2">
      <w:pPr>
        <w:pStyle w:val="ListBullet2"/>
      </w:pPr>
      <w:r w:rsidRPr="00906EB2">
        <w:t>scratch and sizing equipment and services</w:t>
      </w:r>
    </w:p>
    <w:p w:rsidR="00000000" w:rsidRPr="00906EB2" w:rsidP="00906EB2">
      <w:pPr>
        <w:pStyle w:val="ListBullet2"/>
      </w:pPr>
      <w:r w:rsidRPr="00906EB2">
        <w:t xml:space="preserve">personal protective clothing and equipment </w:t>
      </w:r>
    </w:p>
    <w:p w:rsidR="00000000" w:rsidRPr="00906EB2" w:rsidP="00906EB2">
      <w:pPr>
        <w:pStyle w:val="ListBullet2"/>
      </w:pPr>
      <w:r w:rsidRPr="00906EB2">
        <w:t>cleaning materials and equipment</w:t>
      </w:r>
    </w:p>
    <w:p w:rsidR="00000000" w:rsidRPr="00906EB2" w:rsidP="00906EB2">
      <w:pPr>
        <w:pStyle w:val="ListBullet"/>
      </w:pPr>
      <w:r w:rsidRPr="00906EB2">
        <w:t>specifications:</w:t>
      </w:r>
    </w:p>
    <w:p w:rsidR="00000000" w:rsidRPr="00906EB2" w:rsidP="00906EB2">
      <w:pPr>
        <w:pStyle w:val="ListBullet2"/>
      </w:pPr>
      <w:r w:rsidRPr="00906EB2">
        <w:t>scratch and sizing product specification</w:t>
      </w:r>
    </w:p>
    <w:p w:rsidR="00000000" w:rsidRPr="00906EB2" w:rsidP="00906EB2">
      <w:pPr>
        <w:pStyle w:val="ListBullet2"/>
      </w:pPr>
      <w:r w:rsidRPr="00906EB2">
        <w:t xml:space="preserve">production schedule </w:t>
      </w:r>
    </w:p>
    <w:p w:rsidR="00000000" w:rsidRPr="00906EB2" w:rsidP="00906EB2">
      <w:pPr>
        <w:pStyle w:val="ListBullet2"/>
      </w:pPr>
      <w:r w:rsidRPr="00906EB2">
        <w:t>work procedures, including advice on safe work practices, food safety, quality and environmental re</w:t>
      </w:r>
      <w:r w:rsidRPr="00906EB2">
        <w:t>quirements</w:t>
      </w:r>
    </w:p>
    <w:p w:rsidR="00000000" w:rsidRPr="00906EB2" w:rsidP="00906EB2">
      <w:pPr>
        <w:pStyle w:val="ListBullet2"/>
      </w:pPr>
      <w:r w:rsidRPr="00906EB2">
        <w:t>basic information on equipment capacity and operating parameters.</w:t>
      </w:r>
    </w:p>
    <w:p w:rsidR="00000000" w:rsidRPr="00906EB2" w:rsidP="00906EB2">
      <w:pPr>
        <w:pStyle w:val="ListBullet"/>
      </w:pPr>
      <w:r w:rsidRPr="00906EB2">
        <w:t>relationships:</w:t>
      </w:r>
    </w:p>
    <w:p w:rsidR="00000000" w:rsidRPr="00906EB2" w:rsidP="00906EB2">
      <w:pPr>
        <w:pStyle w:val="ListBullet2"/>
      </w:pPr>
      <w:r w:rsidRPr="00906EB2">
        <w:t>supervisor/head miller.</w:t>
      </w:r>
    </w:p>
    <w:p w:rsidR="00000000" w:rsidRPr="00906EB2" w:rsidP="00D417EC">
      <w:pPr>
        <w:pStyle w:val="BodyText"/>
      </w:pPr>
      <w:r w:rsidRPr="00906EB2">
        <w:t>Assessors of this unit must satisfy the requirements for assessors in applicable vocational education and training legislation, frameworks</w:t>
      </w:r>
      <w:r w:rsidRPr="00906EB2">
        <w:t xml:space="preserve"> and/or standards.</w:t>
      </w:r>
    </w:p>
    <w:p w:rsidR="00000000" w:rsidRPr="00906EB2" w:rsidP="00906EB2">
      <w:pPr>
        <w:pStyle w:val="Heading1"/>
      </w:pPr>
      <w:bookmarkStart w:id="5" w:name="O_1186971"/>
      <w:bookmarkEnd w:id="5"/>
      <w:r w:rsidRPr="00906EB2">
        <w:t>Links</w:t>
      </w:r>
    </w:p>
    <w:p w:rsidR="00000000" w:rsidRPr="00906EB2" w:rsidP="00D417EC">
      <w:pPr>
        <w:pStyle w:val="BodyText"/>
      </w:pPr>
      <w:r w:rsidRPr="00906EB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A48B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06EB2" w:rsidP="00906EB2"/>
    <w:sectPr w:rsidSect="00906E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E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EB2" w:rsidRPr="00D417EC" w:rsidP="00D417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E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7EC" w:rsidP="00906E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17EC" w:rsidP="00906E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417EC" w:rsidP="00906E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E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7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6EB2" w:rsidRPr="00D417EC" w:rsidP="00D417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E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7EC" w:rsidRPr="002D2AF8" w:rsidP="00906E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FBPGRA3028 Monitor scratch and sizing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D417EC" w:rsidP="00906E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1401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2865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AE33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E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6E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6E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6E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6E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6E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6E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6E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6E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6E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6E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6EB2"/>
  </w:style>
  <w:style w:type="character" w:customStyle="1" w:styleId="Heading1Char">
    <w:name w:val="Heading 1 Char"/>
    <w:basedOn w:val="DefaultParagraphFont"/>
    <w:link w:val="Heading1"/>
    <w:rsid w:val="00906E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6E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6E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6E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6EB2"/>
    <w:rPr>
      <w:b/>
      <w:spacing w:val="0"/>
    </w:rPr>
  </w:style>
  <w:style w:type="paragraph" w:styleId="ListBullet2">
    <w:name w:val="List Bullet 2"/>
    <w:basedOn w:val="List2"/>
    <w:rsid w:val="00906E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6E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6E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06EB2"/>
    <w:rPr>
      <w:b/>
    </w:rPr>
  </w:style>
  <w:style w:type="character" w:customStyle="1" w:styleId="Heading2Char">
    <w:name w:val="Heading 2 Char"/>
    <w:basedOn w:val="DefaultParagraphFont"/>
    <w:link w:val="Heading2"/>
    <w:rsid w:val="00906E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6E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6E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6E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6E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6E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6E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6E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6E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6E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6E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6E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6E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6E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6E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6E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6E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6E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6E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6E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6E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6E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6E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6E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6E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6E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6E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6E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6E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6E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6E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6E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6EB2"/>
    <w:rPr>
      <w:i/>
    </w:rPr>
  </w:style>
  <w:style w:type="paragraph" w:styleId="Caption">
    <w:name w:val="caption"/>
    <w:basedOn w:val="BodyText"/>
    <w:next w:val="Normal"/>
    <w:qFormat/>
    <w:rsid w:val="00906E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6E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6E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6EB2"/>
  </w:style>
  <w:style w:type="paragraph" w:styleId="TableofFigures">
    <w:name w:val="table of figures"/>
    <w:basedOn w:val="Normal"/>
    <w:next w:val="Normal"/>
    <w:semiHidden/>
    <w:rsid w:val="00906E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6E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6EB2"/>
    <w:rPr>
      <w:rFonts w:ascii="Wingdings" w:hAnsi="Wingdings"/>
    </w:rPr>
  </w:style>
  <w:style w:type="paragraph" w:customStyle="1" w:styleId="TableHeading">
    <w:name w:val="Table Heading"/>
    <w:basedOn w:val="HeadingBase"/>
    <w:rsid w:val="00906E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6EB2"/>
    <w:rPr>
      <w:color w:val="0033CC"/>
      <w:u w:val="none"/>
    </w:rPr>
  </w:style>
  <w:style w:type="paragraph" w:customStyle="1" w:styleId="BodyTextRight">
    <w:name w:val="Body Text Right"/>
    <w:basedOn w:val="BodyText"/>
    <w:rsid w:val="00906E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6E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6E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6E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6E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6E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6EB2"/>
    <w:rPr>
      <w:sz w:val="32"/>
    </w:rPr>
  </w:style>
  <w:style w:type="paragraph" w:customStyle="1" w:styleId="HeadingProcedure">
    <w:name w:val="Heading Procedure"/>
    <w:basedOn w:val="HeadingBase"/>
    <w:next w:val="Normal"/>
    <w:rsid w:val="00906E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6EB2"/>
    <w:pPr>
      <w:spacing w:before="60" w:after="60"/>
    </w:pPr>
  </w:style>
  <w:style w:type="paragraph" w:styleId="ListContinue">
    <w:name w:val="List Continue"/>
    <w:basedOn w:val="List"/>
    <w:rsid w:val="00906EB2"/>
    <w:pPr>
      <w:ind w:firstLine="0"/>
    </w:pPr>
  </w:style>
  <w:style w:type="paragraph" w:customStyle="1" w:styleId="ListNote">
    <w:name w:val="List Note"/>
    <w:basedOn w:val="List"/>
    <w:rsid w:val="00906E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6E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6E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6EB2"/>
    <w:rPr>
      <w:rFonts w:ascii="Courier New" w:hAnsi="Courier New"/>
    </w:rPr>
  </w:style>
  <w:style w:type="paragraph" w:customStyle="1" w:styleId="NoteBullet">
    <w:name w:val="Note Bullet"/>
    <w:basedOn w:val="Note"/>
    <w:rsid w:val="00906E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6E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6E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6E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6E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6E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6E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6EB2"/>
    <w:rPr>
      <w:b/>
      <w:smallCaps/>
    </w:rPr>
  </w:style>
  <w:style w:type="paragraph" w:customStyle="1" w:styleId="TableListNumber">
    <w:name w:val="Table List Number"/>
    <w:basedOn w:val="ListNumber"/>
    <w:rsid w:val="00906E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6E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6EB2"/>
    <w:pPr>
      <w:numPr>
        <w:numId w:val="9"/>
      </w:numPr>
    </w:pPr>
  </w:style>
  <w:style w:type="paragraph" w:customStyle="1" w:styleId="ListAlpha2">
    <w:name w:val="List Alpha 2"/>
    <w:basedOn w:val="List2"/>
    <w:rsid w:val="00906EB2"/>
    <w:pPr>
      <w:numPr>
        <w:numId w:val="8"/>
      </w:numPr>
    </w:pPr>
  </w:style>
  <w:style w:type="paragraph" w:styleId="List2">
    <w:name w:val="List 2"/>
    <w:basedOn w:val="BodyText"/>
    <w:rsid w:val="00906E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6E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6E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6E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6E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6E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6EB2"/>
    <w:pPr>
      <w:numPr>
        <w:numId w:val="4"/>
      </w:numPr>
    </w:pPr>
  </w:style>
  <w:style w:type="paragraph" w:styleId="ListContinue2">
    <w:name w:val="List Continue 2"/>
    <w:basedOn w:val="List2"/>
    <w:rsid w:val="00906EB2"/>
    <w:pPr>
      <w:ind w:firstLine="0"/>
    </w:pPr>
  </w:style>
  <w:style w:type="paragraph" w:styleId="ListContinue3">
    <w:name w:val="List Continue 3"/>
    <w:basedOn w:val="List3"/>
    <w:rsid w:val="00906EB2"/>
    <w:pPr>
      <w:ind w:left="1021" w:firstLine="0"/>
    </w:pPr>
  </w:style>
  <w:style w:type="paragraph" w:styleId="ListContinue4">
    <w:name w:val="List Continue 4"/>
    <w:basedOn w:val="List4"/>
    <w:rsid w:val="00906EB2"/>
    <w:pPr>
      <w:ind w:firstLine="0"/>
    </w:pPr>
  </w:style>
  <w:style w:type="paragraph" w:styleId="ListContinue5">
    <w:name w:val="List Continue 5"/>
    <w:basedOn w:val="List5"/>
    <w:rsid w:val="00906EB2"/>
    <w:pPr>
      <w:ind w:firstLine="0"/>
    </w:pPr>
  </w:style>
  <w:style w:type="paragraph" w:styleId="ListNumber3">
    <w:name w:val="List Number 3"/>
    <w:basedOn w:val="List3"/>
    <w:rsid w:val="00906EB2"/>
    <w:pPr>
      <w:numPr>
        <w:numId w:val="5"/>
      </w:numPr>
    </w:pPr>
  </w:style>
  <w:style w:type="paragraph" w:styleId="ListNumber4">
    <w:name w:val="List Number 4"/>
    <w:basedOn w:val="List4"/>
    <w:rsid w:val="00906EB2"/>
    <w:pPr>
      <w:numPr>
        <w:numId w:val="6"/>
      </w:numPr>
    </w:pPr>
  </w:style>
  <w:style w:type="paragraph" w:styleId="ListNumber5">
    <w:name w:val="List Number 5"/>
    <w:basedOn w:val="List5"/>
    <w:rsid w:val="00906EB2"/>
    <w:pPr>
      <w:numPr>
        <w:numId w:val="7"/>
      </w:numPr>
    </w:pPr>
  </w:style>
  <w:style w:type="paragraph" w:styleId="BlockText">
    <w:name w:val="Block Text"/>
    <w:basedOn w:val="Normal"/>
    <w:rsid w:val="00906E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6E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6EB2"/>
    <w:rPr>
      <w:sz w:val="16"/>
      <w:vertAlign w:val="superscript"/>
    </w:rPr>
  </w:style>
  <w:style w:type="character" w:customStyle="1" w:styleId="Symbols">
    <w:name w:val="Symbols"/>
    <w:basedOn w:val="DefaultParagraphFont"/>
    <w:rsid w:val="00906EB2"/>
    <w:rPr>
      <w:rFonts w:ascii="Symbol" w:hAnsi="Symbol"/>
    </w:rPr>
  </w:style>
  <w:style w:type="character" w:customStyle="1" w:styleId="MenuOptions">
    <w:name w:val="Menu Options"/>
    <w:basedOn w:val="DefaultParagraphFont"/>
    <w:rsid w:val="00906E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6EB2"/>
    <w:rPr>
      <w:b/>
    </w:rPr>
  </w:style>
  <w:style w:type="character" w:customStyle="1" w:styleId="Underlined">
    <w:name w:val="Underlined"/>
    <w:basedOn w:val="DefaultParagraphFont"/>
    <w:rsid w:val="00906EB2"/>
    <w:rPr>
      <w:u w:val="single"/>
    </w:rPr>
  </w:style>
  <w:style w:type="paragraph" w:customStyle="1" w:styleId="TableBodyTextRight">
    <w:name w:val="Table Body Text Right"/>
    <w:basedOn w:val="TableBodyText"/>
    <w:rsid w:val="00906E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6EB2"/>
    <w:rPr>
      <w:sz w:val="18"/>
    </w:rPr>
  </w:style>
  <w:style w:type="paragraph" w:customStyle="1" w:styleId="BodySmallRight">
    <w:name w:val="Body Small Right"/>
    <w:basedOn w:val="BodyTextRight"/>
    <w:rsid w:val="00906EB2"/>
    <w:rPr>
      <w:sz w:val="18"/>
      <w:szCs w:val="18"/>
    </w:rPr>
  </w:style>
  <w:style w:type="paragraph" w:customStyle="1" w:styleId="MarginEdition">
    <w:name w:val="Margin Edition"/>
    <w:basedOn w:val="MarginNote"/>
    <w:rsid w:val="00906E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6EB2"/>
    <w:rPr>
      <w:sz w:val="2"/>
      <w:szCs w:val="2"/>
    </w:rPr>
  </w:style>
  <w:style w:type="character" w:customStyle="1" w:styleId="Small">
    <w:name w:val="Small"/>
    <w:basedOn w:val="DefaultParagraphFont"/>
    <w:rsid w:val="00906EB2"/>
    <w:rPr>
      <w:sz w:val="16"/>
    </w:rPr>
  </w:style>
  <w:style w:type="paragraph" w:customStyle="1" w:styleId="WideTable">
    <w:name w:val="Wide Table"/>
    <w:basedOn w:val="Normal"/>
    <w:rsid w:val="00906E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6EB2"/>
  </w:style>
  <w:style w:type="paragraph" w:styleId="Quote">
    <w:name w:val="Quote"/>
    <w:basedOn w:val="Heading1"/>
    <w:link w:val="QuoteChar"/>
    <w:qFormat/>
    <w:rsid w:val="00906E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6E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6EB2"/>
    <w:pPr>
      <w:pageBreakBefore/>
    </w:pPr>
  </w:style>
  <w:style w:type="paragraph" w:customStyle="1" w:styleId="Border">
    <w:name w:val="Border"/>
    <w:basedOn w:val="Normal"/>
    <w:qFormat/>
    <w:rsid w:val="00906E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6E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E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E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6E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6E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6E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6E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6E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6EB2"/>
    <w:rPr>
      <w:u w:val="single"/>
    </w:rPr>
  </w:style>
  <w:style w:type="character" w:customStyle="1" w:styleId="BoldandItalics">
    <w:name w:val="Bold and Italics"/>
    <w:qFormat/>
    <w:rsid w:val="00906EB2"/>
    <w:rPr>
      <w:b/>
      <w:i/>
      <w:u w:val="none"/>
    </w:rPr>
  </w:style>
  <w:style w:type="paragraph" w:styleId="BalloonText">
    <w:name w:val="Balloon Text"/>
    <w:basedOn w:val="Normal"/>
    <w:link w:val="BalloonTextChar"/>
    <w:rsid w:val="00906E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E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6E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6E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6E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6E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6EB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417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3578</Characters>
  <Application>Microsoft Office Word</Application>
  <DocSecurity>0</DocSecurity>
  <Lines>96</Lines>
  <Paragraphs>80</Paragraphs>
  <ScaleCrop>false</ScaleCrop>
  <Company>Author-it Software Corporation Ltd.</Company>
  <LinksUpToDate>false</LinksUpToDate>
  <CharactersWithSpaces>4031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FBPGRA3028 Monitor scratch and sizing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2022-04-19T18:25:00Z</dcterms:created>
  <dcterms:modified xsi:type="dcterms:W3CDTF">2022-04-19T18:25:00Z</dcterms:modified>
</cp:coreProperties>
</file>